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D3" w:rsidRPr="00DD5ED3" w:rsidRDefault="00DD5ED3" w:rsidP="00357BF9">
      <w:pPr>
        <w:suppressAutoHyphens/>
        <w:spacing w:after="0" w:line="240" w:lineRule="auto"/>
        <w:ind w:left="4820"/>
        <w:jc w:val="right"/>
        <w:rPr>
          <w:rFonts w:ascii="Times New Roman" w:eastAsia="Times New Roman" w:hAnsi="Times New Roman" w:cs="Times New Roman"/>
          <w:b/>
          <w:sz w:val="28"/>
          <w:szCs w:val="28"/>
          <w:lang w:eastAsia="lv-LV"/>
        </w:rPr>
      </w:pPr>
      <w:r w:rsidRPr="00DD5ED3">
        <w:rPr>
          <w:rFonts w:ascii="Times New Roman" w:hAnsi="Times New Roman" w:cs="Times New Roman"/>
          <w:bCs/>
          <w:i/>
        </w:rPr>
        <w:t>Informatīvā ziņojuma</w:t>
      </w:r>
      <w:r w:rsidR="0014183B">
        <w:rPr>
          <w:rFonts w:ascii="Times New Roman" w:hAnsi="Times New Roman" w:cs="Times New Roman"/>
          <w:bCs/>
          <w:i/>
        </w:rPr>
        <w:t xml:space="preserve"> </w:t>
      </w:r>
      <w:r w:rsidRPr="00DD5ED3">
        <w:rPr>
          <w:rFonts w:ascii="Times New Roman" w:hAnsi="Times New Roman" w:cs="Times New Roman"/>
          <w:bCs/>
          <w:i/>
        </w:rPr>
        <w:t>par Komisijas PSRS totalitārā komunistiskā okupācijas režīma</w:t>
      </w:r>
      <w:r w:rsidR="0014183B">
        <w:rPr>
          <w:rFonts w:ascii="Times New Roman" w:hAnsi="Times New Roman" w:cs="Times New Roman"/>
          <w:bCs/>
          <w:i/>
        </w:rPr>
        <w:t xml:space="preserve"> </w:t>
      </w:r>
      <w:r w:rsidRPr="00DD5ED3">
        <w:rPr>
          <w:rFonts w:ascii="Times New Roman" w:hAnsi="Times New Roman" w:cs="Times New Roman"/>
          <w:bCs/>
          <w:i/>
        </w:rPr>
        <w:t>upuru skaita un</w:t>
      </w:r>
      <w:r w:rsidR="0014183B">
        <w:rPr>
          <w:rFonts w:ascii="Times New Roman" w:hAnsi="Times New Roman" w:cs="Times New Roman"/>
          <w:bCs/>
          <w:i/>
        </w:rPr>
        <w:t xml:space="preserve"> </w:t>
      </w:r>
      <w:r w:rsidRPr="00DD5ED3">
        <w:rPr>
          <w:rFonts w:ascii="Times New Roman" w:hAnsi="Times New Roman" w:cs="Times New Roman"/>
          <w:bCs/>
          <w:i/>
        </w:rPr>
        <w:t>masu kapu vietu noteikšanai,</w:t>
      </w:r>
      <w:r w:rsidR="0014183B">
        <w:rPr>
          <w:rFonts w:ascii="Times New Roman" w:hAnsi="Times New Roman" w:cs="Times New Roman"/>
          <w:bCs/>
          <w:i/>
        </w:rPr>
        <w:t xml:space="preserve"> </w:t>
      </w:r>
      <w:r w:rsidRPr="00DD5ED3">
        <w:rPr>
          <w:rFonts w:ascii="Times New Roman" w:hAnsi="Times New Roman" w:cs="Times New Roman"/>
          <w:bCs/>
          <w:i/>
        </w:rPr>
        <w:t>informācijas par represijām un masveida deportācijām apkopošanai</w:t>
      </w:r>
      <w:r w:rsidR="0014183B">
        <w:rPr>
          <w:rFonts w:ascii="Times New Roman" w:hAnsi="Times New Roman" w:cs="Times New Roman"/>
          <w:bCs/>
          <w:i/>
        </w:rPr>
        <w:t xml:space="preserve"> </w:t>
      </w:r>
      <w:r w:rsidRPr="00DD5ED3">
        <w:rPr>
          <w:rFonts w:ascii="Times New Roman" w:hAnsi="Times New Roman" w:cs="Times New Roman"/>
          <w:bCs/>
          <w:i/>
        </w:rPr>
        <w:t>un Latvijas valstij un tās iedzīvotājiem nodarīto zaudējumu aprēķināšanai darbību</w:t>
      </w:r>
      <w:r w:rsidR="00D745E9">
        <w:rPr>
          <w:rFonts w:ascii="Times New Roman" w:hAnsi="Times New Roman" w:cs="Times New Roman"/>
          <w:bCs/>
          <w:i/>
        </w:rPr>
        <w:t xml:space="preserve"> 201</w:t>
      </w:r>
      <w:r w:rsidR="00DA7B56">
        <w:rPr>
          <w:rFonts w:ascii="Times New Roman" w:hAnsi="Times New Roman" w:cs="Times New Roman"/>
          <w:bCs/>
          <w:i/>
        </w:rPr>
        <w:t>6</w:t>
      </w:r>
      <w:r w:rsidR="00D745E9">
        <w:rPr>
          <w:rFonts w:ascii="Times New Roman" w:hAnsi="Times New Roman" w:cs="Times New Roman"/>
          <w:bCs/>
          <w:i/>
        </w:rPr>
        <w:t>.</w:t>
      </w:r>
      <w:r w:rsidR="00EE3241">
        <w:rPr>
          <w:rFonts w:ascii="Times New Roman" w:hAnsi="Times New Roman" w:cs="Times New Roman"/>
          <w:bCs/>
          <w:i/>
        </w:rPr>
        <w:t> </w:t>
      </w:r>
      <w:r w:rsidR="0014183B">
        <w:rPr>
          <w:rFonts w:ascii="Times New Roman" w:hAnsi="Times New Roman" w:cs="Times New Roman"/>
          <w:bCs/>
          <w:i/>
        </w:rPr>
        <w:t>g</w:t>
      </w:r>
      <w:r w:rsidR="00F82B82">
        <w:rPr>
          <w:rFonts w:ascii="Times New Roman" w:hAnsi="Times New Roman" w:cs="Times New Roman"/>
          <w:bCs/>
          <w:i/>
        </w:rPr>
        <w:t>adā</w:t>
      </w:r>
      <w:r w:rsidR="0014183B">
        <w:rPr>
          <w:rFonts w:ascii="Times New Roman" w:hAnsi="Times New Roman" w:cs="Times New Roman"/>
          <w:bCs/>
          <w:i/>
        </w:rPr>
        <w:t xml:space="preserve"> </w:t>
      </w:r>
      <w:r w:rsidRPr="00DD5ED3">
        <w:rPr>
          <w:rFonts w:ascii="Times New Roman" w:hAnsi="Times New Roman" w:cs="Times New Roman"/>
          <w:bCs/>
          <w:i/>
        </w:rPr>
        <w:t>pielikums</w:t>
      </w:r>
    </w:p>
    <w:p w:rsidR="00DD5ED3" w:rsidRDefault="00DD5ED3" w:rsidP="00CF3007">
      <w:pPr>
        <w:spacing w:after="0" w:line="240" w:lineRule="auto"/>
        <w:jc w:val="center"/>
        <w:rPr>
          <w:rFonts w:ascii="Times New Roman" w:eastAsia="Times New Roman" w:hAnsi="Times New Roman" w:cs="Times New Roman"/>
          <w:b/>
          <w:sz w:val="28"/>
          <w:szCs w:val="28"/>
          <w:lang w:eastAsia="lv-LV"/>
        </w:rPr>
      </w:pPr>
    </w:p>
    <w:p w:rsidR="00DA7B56" w:rsidRPr="008F6B9B" w:rsidRDefault="00DA7B56" w:rsidP="00DA7B56">
      <w:pPr>
        <w:spacing w:after="0" w:line="240" w:lineRule="auto"/>
        <w:jc w:val="center"/>
        <w:rPr>
          <w:rFonts w:ascii="Times New Roman" w:hAnsi="Times New Roman"/>
          <w:b/>
          <w:bCs/>
          <w:sz w:val="28"/>
          <w:szCs w:val="24"/>
        </w:rPr>
      </w:pPr>
      <w:r w:rsidRPr="008F6B9B">
        <w:rPr>
          <w:rFonts w:ascii="Times New Roman" w:hAnsi="Times New Roman"/>
          <w:b/>
          <w:bCs/>
          <w:sz w:val="28"/>
          <w:szCs w:val="24"/>
        </w:rPr>
        <w:t xml:space="preserve">Pārskats par Komisijas finanšu līdzekļu izlietojumu </w:t>
      </w:r>
      <w:r w:rsidR="00612EFB" w:rsidRPr="008F6B9B">
        <w:rPr>
          <w:rFonts w:ascii="Times New Roman" w:hAnsi="Times New Roman"/>
          <w:b/>
          <w:sz w:val="28"/>
          <w:szCs w:val="24"/>
        </w:rPr>
        <w:t>2016.</w:t>
      </w:r>
      <w:r w:rsidR="00EE3241">
        <w:rPr>
          <w:rFonts w:ascii="Times New Roman" w:hAnsi="Times New Roman"/>
          <w:b/>
          <w:sz w:val="28"/>
          <w:szCs w:val="24"/>
        </w:rPr>
        <w:t> </w:t>
      </w:r>
      <w:r w:rsidRPr="008F6B9B">
        <w:rPr>
          <w:rFonts w:ascii="Times New Roman" w:hAnsi="Times New Roman"/>
          <w:b/>
          <w:sz w:val="28"/>
          <w:szCs w:val="24"/>
        </w:rPr>
        <w:t>gadā</w:t>
      </w:r>
    </w:p>
    <w:p w:rsidR="00DD5ED3" w:rsidRPr="00DD5ED3" w:rsidRDefault="00DD5ED3" w:rsidP="00CF3007">
      <w:pPr>
        <w:spacing w:after="0" w:line="240" w:lineRule="auto"/>
        <w:jc w:val="center"/>
        <w:rPr>
          <w:rFonts w:ascii="Times New Roman" w:eastAsia="Times New Roman" w:hAnsi="Times New Roman" w:cs="Times New Roman"/>
          <w:b/>
          <w:sz w:val="24"/>
          <w:szCs w:val="28"/>
          <w:lang w:eastAsia="lv-LV"/>
        </w:rPr>
      </w:pPr>
    </w:p>
    <w:tbl>
      <w:tblPr>
        <w:tblW w:w="95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72"/>
        <w:gridCol w:w="3736"/>
        <w:gridCol w:w="879"/>
      </w:tblGrid>
      <w:tr w:rsidR="00DA7B56" w:rsidRPr="00DA7B56" w:rsidTr="00357BF9">
        <w:trPr>
          <w:tblHeader/>
          <w:jc w:val="center"/>
        </w:trPr>
        <w:tc>
          <w:tcPr>
            <w:tcW w:w="418" w:type="dxa"/>
            <w:shd w:val="clear" w:color="auto" w:fill="E6E6E6"/>
            <w:vAlign w:val="center"/>
          </w:tcPr>
          <w:p w:rsidR="00DA7B56" w:rsidRPr="00DA7B56" w:rsidRDefault="00DA7B56" w:rsidP="009F4321">
            <w:pPr>
              <w:spacing w:before="60" w:after="60"/>
              <w:ind w:left="-103" w:right="-210" w:hanging="103"/>
              <w:jc w:val="center"/>
              <w:rPr>
                <w:rFonts w:ascii="Times New Roman" w:hAnsi="Times New Roman" w:cs="Times New Roman"/>
                <w:b/>
                <w:sz w:val="24"/>
                <w:szCs w:val="24"/>
              </w:rPr>
            </w:pPr>
            <w:r w:rsidRPr="00DA7B56">
              <w:rPr>
                <w:rFonts w:ascii="Times New Roman" w:hAnsi="Times New Roman" w:cs="Times New Roman"/>
                <w:b/>
                <w:sz w:val="24"/>
                <w:szCs w:val="24"/>
              </w:rPr>
              <w:t>Nr.</w:t>
            </w:r>
          </w:p>
        </w:tc>
        <w:tc>
          <w:tcPr>
            <w:tcW w:w="4420" w:type="dxa"/>
            <w:shd w:val="clear" w:color="auto" w:fill="E6E6E6"/>
            <w:vAlign w:val="center"/>
          </w:tcPr>
          <w:p w:rsidR="00DA7B56" w:rsidRPr="00DA7B56" w:rsidRDefault="00DA7B56" w:rsidP="009F4321">
            <w:pPr>
              <w:spacing w:before="60" w:after="60"/>
              <w:jc w:val="center"/>
              <w:rPr>
                <w:rFonts w:ascii="Times New Roman" w:hAnsi="Times New Roman" w:cs="Times New Roman"/>
                <w:b/>
                <w:sz w:val="24"/>
                <w:szCs w:val="24"/>
              </w:rPr>
            </w:pPr>
            <w:r w:rsidRPr="00DA7B56">
              <w:rPr>
                <w:rFonts w:ascii="Times New Roman" w:hAnsi="Times New Roman" w:cs="Times New Roman"/>
                <w:b/>
                <w:sz w:val="24"/>
                <w:szCs w:val="24"/>
              </w:rPr>
              <w:t>Izlietojums</w:t>
            </w:r>
          </w:p>
        </w:tc>
        <w:tc>
          <w:tcPr>
            <w:tcW w:w="3781" w:type="dxa"/>
            <w:shd w:val="clear" w:color="auto" w:fill="E6E6E6"/>
          </w:tcPr>
          <w:p w:rsidR="00DA7B56" w:rsidRPr="00DA7B56" w:rsidRDefault="00DA7B56" w:rsidP="009F4321">
            <w:pPr>
              <w:spacing w:before="60" w:after="60"/>
              <w:jc w:val="center"/>
              <w:rPr>
                <w:rFonts w:ascii="Times New Roman" w:hAnsi="Times New Roman" w:cs="Times New Roman"/>
                <w:b/>
                <w:sz w:val="24"/>
                <w:szCs w:val="24"/>
              </w:rPr>
            </w:pPr>
            <w:r w:rsidRPr="00DA7B56">
              <w:rPr>
                <w:rFonts w:ascii="Times New Roman" w:hAnsi="Times New Roman" w:cs="Times New Roman"/>
                <w:b/>
                <w:sz w:val="24"/>
                <w:szCs w:val="24"/>
              </w:rPr>
              <w:t>Rezultāts</w:t>
            </w:r>
          </w:p>
        </w:tc>
        <w:tc>
          <w:tcPr>
            <w:tcW w:w="884" w:type="dxa"/>
            <w:shd w:val="clear" w:color="auto" w:fill="E6E6E6"/>
          </w:tcPr>
          <w:p w:rsidR="00DA7B56" w:rsidRPr="00DA7B56" w:rsidRDefault="00DA7B56" w:rsidP="009F4321">
            <w:pPr>
              <w:spacing w:before="60" w:after="60"/>
              <w:jc w:val="center"/>
              <w:rPr>
                <w:rFonts w:ascii="Times New Roman" w:hAnsi="Times New Roman" w:cs="Times New Roman"/>
                <w:b/>
                <w:sz w:val="24"/>
                <w:szCs w:val="24"/>
              </w:rPr>
            </w:pPr>
            <w:r w:rsidRPr="00DA7B56">
              <w:rPr>
                <w:rFonts w:ascii="Times New Roman" w:hAnsi="Times New Roman" w:cs="Times New Roman"/>
                <w:b/>
                <w:sz w:val="24"/>
                <w:szCs w:val="24"/>
              </w:rPr>
              <w:t>EUR</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Analīze par Latvijas prasījuma tiesību īstenošanas iespējām starptautiskajās tiesību institūcijās</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ind w:right="-192"/>
              <w:rPr>
                <w:rFonts w:ascii="Times New Roman" w:hAnsi="Times New Roman" w:cs="Times New Roman"/>
                <w:sz w:val="24"/>
                <w:szCs w:val="24"/>
              </w:rPr>
            </w:pPr>
            <w:r w:rsidRPr="00DA7B56">
              <w:rPr>
                <w:rFonts w:ascii="Times New Roman" w:hAnsi="Times New Roman" w:cs="Times New Roman"/>
                <w:sz w:val="24"/>
                <w:szCs w:val="24"/>
              </w:rPr>
              <w:t>Iegūtais materiāls ļauj konkretizēt tālākos Komisijas darbības virzienus Saeimas 2005.</w:t>
            </w:r>
            <w:r w:rsidR="00EE3241">
              <w:rPr>
                <w:rFonts w:ascii="Times New Roman" w:hAnsi="Times New Roman" w:cs="Times New Roman"/>
                <w:sz w:val="24"/>
                <w:szCs w:val="24"/>
              </w:rPr>
              <w:t> </w:t>
            </w:r>
            <w:r w:rsidR="00612EFB">
              <w:rPr>
                <w:rFonts w:ascii="Times New Roman" w:hAnsi="Times New Roman" w:cs="Times New Roman"/>
                <w:sz w:val="24"/>
                <w:szCs w:val="24"/>
              </w:rPr>
              <w:t>gada 23.</w:t>
            </w:r>
            <w:r w:rsidR="00EE3241">
              <w:rPr>
                <w:rFonts w:ascii="Times New Roman" w:hAnsi="Times New Roman" w:cs="Times New Roman"/>
                <w:sz w:val="24"/>
                <w:szCs w:val="24"/>
              </w:rPr>
              <w:t> </w:t>
            </w:r>
            <w:r w:rsidRPr="00DA7B56">
              <w:rPr>
                <w:rFonts w:ascii="Times New Roman" w:hAnsi="Times New Roman" w:cs="Times New Roman"/>
                <w:sz w:val="24"/>
                <w:szCs w:val="24"/>
              </w:rPr>
              <w:t>maija deklarācijā noteiktā izpildei</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4950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2</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Nodokļu un maksājumu kategoriju noteikšana Latvijas PSR budžeta pozīcijās, no kurām tika iemaksāti līdzekļi PSRS budžetā 1946.-1960.</w:t>
            </w:r>
            <w:r w:rsidR="00EE3241">
              <w:rPr>
                <w:rFonts w:ascii="Times New Roman" w:hAnsi="Times New Roman" w:cs="Times New Roman"/>
                <w:sz w:val="24"/>
                <w:szCs w:val="24"/>
              </w:rPr>
              <w:t> </w:t>
            </w:r>
            <w:r w:rsidRPr="00DA7B56">
              <w:rPr>
                <w:rFonts w:ascii="Times New Roman" w:hAnsi="Times New Roman" w:cs="Times New Roman"/>
                <w:sz w:val="24"/>
                <w:szCs w:val="24"/>
              </w:rPr>
              <w:t>gadam</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Iegūtā informācija ļauj noteikt, kuras kategorijas un nodokļi bija tie, kas visvairāk papildināja PSRS budžetu, kā arī ir papildu pierādījums par Latvijas teritorijas ekonomisko ekspluatāciju PSRS okupācijas laikā</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4200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3</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612EFB" w:rsidP="009F4321">
            <w:pPr>
              <w:spacing w:before="40" w:after="0" w:line="240" w:lineRule="auto"/>
              <w:rPr>
                <w:rFonts w:ascii="Times New Roman" w:hAnsi="Times New Roman" w:cs="Times New Roman"/>
                <w:sz w:val="24"/>
                <w:szCs w:val="24"/>
              </w:rPr>
            </w:pPr>
            <w:r>
              <w:rPr>
                <w:rFonts w:ascii="Times New Roman" w:hAnsi="Times New Roman" w:cs="Times New Roman"/>
                <w:sz w:val="24"/>
                <w:szCs w:val="24"/>
              </w:rPr>
              <w:t>2015.</w:t>
            </w:r>
            <w:r w:rsidR="00EE3241">
              <w:rPr>
                <w:rFonts w:ascii="Times New Roman" w:hAnsi="Times New Roman" w:cs="Times New Roman"/>
                <w:sz w:val="24"/>
                <w:szCs w:val="24"/>
              </w:rPr>
              <w:t> </w:t>
            </w:r>
            <w:r w:rsidR="00DA7B56" w:rsidRPr="00DA7B56">
              <w:rPr>
                <w:rFonts w:ascii="Times New Roman" w:hAnsi="Times New Roman" w:cs="Times New Roman"/>
                <w:sz w:val="24"/>
                <w:szCs w:val="24"/>
              </w:rPr>
              <w:t>gadā iesāktā Latvijas demogrāfisko datu apkopojuma izstrādes turpināšana</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Papildināts demogrāfisko d</w:t>
            </w:r>
            <w:r w:rsidR="00612EFB">
              <w:rPr>
                <w:rFonts w:ascii="Times New Roman" w:hAnsi="Times New Roman" w:cs="Times New Roman"/>
                <w:sz w:val="24"/>
                <w:szCs w:val="24"/>
              </w:rPr>
              <w:t>atu apkopojums saskaņā ar 2015.</w:t>
            </w:r>
            <w:r w:rsidR="00EE3241">
              <w:rPr>
                <w:rFonts w:ascii="Times New Roman" w:hAnsi="Times New Roman" w:cs="Times New Roman"/>
                <w:sz w:val="24"/>
                <w:szCs w:val="24"/>
              </w:rPr>
              <w:t> </w:t>
            </w:r>
            <w:r w:rsidRPr="00DA7B56">
              <w:rPr>
                <w:rFonts w:ascii="Times New Roman" w:hAnsi="Times New Roman" w:cs="Times New Roman"/>
                <w:sz w:val="24"/>
                <w:szCs w:val="24"/>
              </w:rPr>
              <w:t xml:space="preserve">gadā izveidoto plānu/aprakstu </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2200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4</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Style w:val="Izteiksmgs"/>
                <w:rFonts w:ascii="Times New Roman" w:hAnsi="Times New Roman" w:cs="Times New Roman"/>
                <w:b w:val="0"/>
                <w:bCs w:val="0"/>
                <w:sz w:val="24"/>
                <w:szCs w:val="24"/>
              </w:rPr>
              <w:t>Vides sektora zaudējumu apkopojuma aktualizācija</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Tā kā vēsturiskā piesārņojuma sanācija tuvojas noslēgumam, izmaksas fiksētas un saskaņotas ar Eiropas Komisiju, ir iegūts apkopojums, kādas ir bijušas līdzšinējās kopējās izmaksas PSRS saimniekošanas laikā radītā piesārņojuma likvidēšanā, cik šī piesārņojuma vēl jālikvidē</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3300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5</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ind w:right="-72"/>
              <w:rPr>
                <w:rFonts w:ascii="Times New Roman" w:hAnsi="Times New Roman" w:cs="Times New Roman"/>
                <w:sz w:val="24"/>
                <w:szCs w:val="24"/>
              </w:rPr>
            </w:pPr>
            <w:r w:rsidRPr="00DA7B56">
              <w:rPr>
                <w:rFonts w:ascii="Times New Roman" w:hAnsi="Times New Roman" w:cs="Times New Roman"/>
                <w:sz w:val="24"/>
                <w:szCs w:val="24"/>
              </w:rPr>
              <w:t>Informācijas iegūšana par iespējām veikt Igaunijas PSR un Lietuvas PSR budžetu savstarpējo norēķinu ar PSRS apzināšanu, kā arī par strukturālu izdevumu – ienākumu analīzi</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ind w:right="-50"/>
              <w:rPr>
                <w:rFonts w:ascii="Times New Roman" w:hAnsi="Times New Roman" w:cs="Times New Roman"/>
                <w:sz w:val="24"/>
                <w:szCs w:val="24"/>
              </w:rPr>
            </w:pPr>
            <w:r w:rsidRPr="00DA7B56">
              <w:rPr>
                <w:rFonts w:ascii="Times New Roman" w:hAnsi="Times New Roman" w:cs="Times New Roman"/>
                <w:sz w:val="24"/>
                <w:szCs w:val="24"/>
              </w:rPr>
              <w:t>Iegūta informācija par to, ka arī Lietuvā un Igaunijā ir iespējas arhīvos iegūt nepieciešamo informāciju, kas ļauj turpināt darbu pēc saskaņotas metodoloģijas Latvijā, Igaunijā un Lietuvā</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566</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6</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Padomju režīma represēto personu apzināšana un datu bāzes veidošana (1940–1989)</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ind w:right="-50"/>
              <w:rPr>
                <w:rFonts w:ascii="Times New Roman" w:hAnsi="Times New Roman" w:cs="Times New Roman"/>
                <w:sz w:val="24"/>
                <w:szCs w:val="24"/>
              </w:rPr>
            </w:pPr>
            <w:r w:rsidRPr="00DA7B56">
              <w:rPr>
                <w:rFonts w:ascii="Times New Roman" w:hAnsi="Times New Roman" w:cs="Times New Roman"/>
                <w:sz w:val="24"/>
                <w:szCs w:val="24"/>
              </w:rPr>
              <w:t>Turpināts darbs represēto personu pilnīgai datu bāzes iegūšana Komisijas pētniecības darba vajadzībām</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8400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7</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 xml:space="preserve">Intervijas ar LPSR laika augstākā līmeņa </w:t>
            </w:r>
            <w:r w:rsidRPr="00DA7B56">
              <w:rPr>
                <w:rFonts w:ascii="Times New Roman" w:hAnsi="Times New Roman" w:cs="Times New Roman"/>
                <w:sz w:val="24"/>
                <w:szCs w:val="24"/>
              </w:rPr>
              <w:lastRenderedPageBreak/>
              <w:t>tautsaimniekiem, saimnieciskās darbības vadītājiem un speciālistiem, statistiķiem, dažādu jomu valsts struktūru vadītājiem</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ind w:right="-50"/>
              <w:rPr>
                <w:rFonts w:ascii="Times New Roman" w:hAnsi="Times New Roman" w:cs="Times New Roman"/>
                <w:sz w:val="24"/>
                <w:szCs w:val="24"/>
              </w:rPr>
            </w:pPr>
            <w:r w:rsidRPr="00DA7B56">
              <w:rPr>
                <w:rFonts w:ascii="Times New Roman" w:hAnsi="Times New Roman" w:cs="Times New Roman"/>
                <w:sz w:val="24"/>
                <w:szCs w:val="24"/>
              </w:rPr>
              <w:lastRenderedPageBreak/>
              <w:t xml:space="preserve">Izstrādātā interviju standarta ietvaros </w:t>
            </w:r>
            <w:r w:rsidRPr="00DA7B56">
              <w:rPr>
                <w:rFonts w:ascii="Times New Roman" w:hAnsi="Times New Roman" w:cs="Times New Roman"/>
                <w:sz w:val="24"/>
                <w:szCs w:val="24"/>
              </w:rPr>
              <w:lastRenderedPageBreak/>
              <w:t xml:space="preserve">iegūtas liecības un informācija no reālām personām par PSRS sistēmas darbības metodēm un līdzekļiem </w:t>
            </w:r>
            <w:r w:rsidR="00612EFB">
              <w:rPr>
                <w:rFonts w:ascii="Times New Roman" w:hAnsi="Times New Roman" w:cs="Times New Roman"/>
                <w:sz w:val="24"/>
                <w:szCs w:val="24"/>
              </w:rPr>
              <w:t>Latvijas teritorijā 1940.-1990.</w:t>
            </w:r>
            <w:r w:rsidR="00381204">
              <w:rPr>
                <w:rFonts w:ascii="Times New Roman" w:hAnsi="Times New Roman" w:cs="Times New Roman"/>
                <w:sz w:val="24"/>
                <w:szCs w:val="24"/>
              </w:rPr>
              <w:t> </w:t>
            </w:r>
            <w:r w:rsidRPr="00DA7B56">
              <w:rPr>
                <w:rFonts w:ascii="Times New Roman" w:hAnsi="Times New Roman" w:cs="Times New Roman"/>
                <w:sz w:val="24"/>
                <w:szCs w:val="24"/>
              </w:rPr>
              <w:t>gadam</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b/>
                <w:sz w:val="24"/>
                <w:szCs w:val="24"/>
                <w:u w:val="single"/>
              </w:rPr>
            </w:pPr>
            <w:r w:rsidRPr="00DA7B56">
              <w:rPr>
                <w:rFonts w:ascii="Times New Roman" w:hAnsi="Times New Roman" w:cs="Times New Roman"/>
                <w:sz w:val="24"/>
                <w:szCs w:val="24"/>
              </w:rPr>
              <w:lastRenderedPageBreak/>
              <w:t>825</w:t>
            </w:r>
          </w:p>
        </w:tc>
      </w:tr>
      <w:tr w:rsidR="00DA7B56" w:rsidRPr="00DA7B56" w:rsidTr="00357BF9">
        <w:trPr>
          <w:jc w:val="center"/>
        </w:trPr>
        <w:tc>
          <w:tcPr>
            <w:tcW w:w="418" w:type="dxa"/>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lastRenderedPageBreak/>
              <w:t>8</w:t>
            </w:r>
            <w:r w:rsidR="002C32CD">
              <w:rPr>
                <w:rFonts w:ascii="Times New Roman" w:hAnsi="Times New Roman" w:cs="Times New Roman"/>
                <w:sz w:val="24"/>
                <w:szCs w:val="24"/>
              </w:rPr>
              <w:t>.</w:t>
            </w:r>
          </w:p>
        </w:tc>
        <w:tc>
          <w:tcPr>
            <w:tcW w:w="4420" w:type="dxa"/>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Komandējumi uz Lietuvu un Igauniju Baltijas valstu deklarācijā noteikto uzdevumu izpildei</w:t>
            </w:r>
          </w:p>
        </w:tc>
        <w:tc>
          <w:tcPr>
            <w:tcW w:w="3781" w:type="dxa"/>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 xml:space="preserve">Iegūtas konkrētas metodoloģijas un saskaņoti dati, pēc kuriem var turpināties darbs Komisijas uzdevumu īstenošanā un Baltijas valstu deklarācijā noteikto uzdevumu izpildē </w:t>
            </w:r>
          </w:p>
        </w:tc>
        <w:tc>
          <w:tcPr>
            <w:tcW w:w="884" w:type="dxa"/>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862</w:t>
            </w:r>
          </w:p>
          <w:p w:rsidR="00DA7B56" w:rsidRPr="00DA7B56" w:rsidRDefault="00DA7B56" w:rsidP="009F4321">
            <w:pPr>
              <w:spacing w:before="40" w:after="0" w:line="240" w:lineRule="auto"/>
              <w:jc w:val="center"/>
              <w:rPr>
                <w:rFonts w:ascii="Times New Roman" w:hAnsi="Times New Roman" w:cs="Times New Roman"/>
                <w:sz w:val="24"/>
                <w:szCs w:val="24"/>
              </w:rPr>
            </w:pP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9</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612EFB" w:rsidP="009F4321">
            <w:pPr>
              <w:spacing w:before="40" w:after="0" w:line="240" w:lineRule="auto"/>
              <w:rPr>
                <w:rFonts w:ascii="Times New Roman" w:hAnsi="Times New Roman" w:cs="Times New Roman"/>
                <w:strike/>
                <w:sz w:val="24"/>
                <w:szCs w:val="24"/>
              </w:rPr>
            </w:pPr>
            <w:r>
              <w:rPr>
                <w:rFonts w:ascii="Times New Roman" w:hAnsi="Times New Roman" w:cs="Times New Roman"/>
                <w:sz w:val="24"/>
                <w:szCs w:val="24"/>
              </w:rPr>
              <w:t>2014.</w:t>
            </w:r>
            <w:r w:rsidR="00381204">
              <w:rPr>
                <w:rFonts w:ascii="Times New Roman" w:hAnsi="Times New Roman" w:cs="Times New Roman"/>
                <w:sz w:val="24"/>
                <w:szCs w:val="24"/>
              </w:rPr>
              <w:t> </w:t>
            </w:r>
            <w:r w:rsidR="00DA7B56" w:rsidRPr="00DA7B56">
              <w:rPr>
                <w:rFonts w:ascii="Times New Roman" w:hAnsi="Times New Roman" w:cs="Times New Roman"/>
                <w:sz w:val="24"/>
                <w:szCs w:val="24"/>
              </w:rPr>
              <w:t xml:space="preserve">gadā Komisijas uzdevumā izstrādātās digitālās kartotēkas par PSRS karaspēka daļu nodarītajiem zaudējumiem videi un tautsaimniecībai rediģēšana ievietošanai mājaslapā </w:t>
            </w:r>
            <w:hyperlink r:id="rId8" w:history="1">
              <w:r w:rsidR="00DA7B56" w:rsidRPr="00DA7B56">
                <w:rPr>
                  <w:rStyle w:val="Hipersaite"/>
                  <w:rFonts w:ascii="Times New Roman" w:hAnsi="Times New Roman" w:cs="Times New Roman"/>
                  <w:i/>
                  <w:sz w:val="24"/>
                  <w:szCs w:val="24"/>
                </w:rPr>
                <w:t>www.okupacijaszaudejumi.lv</w:t>
              </w:r>
            </w:hyperlink>
            <w:r w:rsidR="00DA7B56" w:rsidRPr="00DA7B56">
              <w:rPr>
                <w:rFonts w:ascii="Times New Roman" w:hAnsi="Times New Roman" w:cs="Times New Roman"/>
                <w:sz w:val="24"/>
                <w:szCs w:val="24"/>
              </w:rPr>
              <w:t xml:space="preserve"> </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Latvijas sabiedrībai internetā ir pieejama informācija par PSRS karaspēka daļu nodarītajiem zaudējumiem videi un tautsaimniecībai</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720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10</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612EFB" w:rsidP="009F4321">
            <w:pPr>
              <w:spacing w:before="40" w:after="0" w:line="240" w:lineRule="auto"/>
              <w:rPr>
                <w:rFonts w:ascii="Times New Roman" w:hAnsi="Times New Roman" w:cs="Times New Roman"/>
                <w:sz w:val="24"/>
                <w:szCs w:val="24"/>
              </w:rPr>
            </w:pPr>
            <w:r>
              <w:rPr>
                <w:rFonts w:ascii="Times New Roman" w:hAnsi="Times New Roman" w:cs="Times New Roman"/>
                <w:sz w:val="24"/>
                <w:szCs w:val="24"/>
              </w:rPr>
              <w:t>2015.</w:t>
            </w:r>
            <w:r w:rsidR="00381204">
              <w:rPr>
                <w:rFonts w:ascii="Times New Roman" w:hAnsi="Times New Roman" w:cs="Times New Roman"/>
                <w:sz w:val="24"/>
                <w:szCs w:val="24"/>
              </w:rPr>
              <w:t> </w:t>
            </w:r>
            <w:r w:rsidR="00DA7B56" w:rsidRPr="00DA7B56">
              <w:rPr>
                <w:rFonts w:ascii="Times New Roman" w:hAnsi="Times New Roman" w:cs="Times New Roman"/>
                <w:sz w:val="24"/>
                <w:szCs w:val="24"/>
              </w:rPr>
              <w:t>gadā izdoto trīs grāmatu prezentācija un izplatīšana</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 xml:space="preserve">Plašai sabiedrībai Latvijā nodota </w:t>
            </w:r>
            <w:r w:rsidR="0014183B">
              <w:rPr>
                <w:rFonts w:ascii="Times New Roman" w:hAnsi="Times New Roman" w:cs="Times New Roman"/>
                <w:sz w:val="24"/>
                <w:szCs w:val="24"/>
              </w:rPr>
              <w:t>K</w:t>
            </w:r>
            <w:r w:rsidRPr="00DA7B56">
              <w:rPr>
                <w:rFonts w:ascii="Times New Roman" w:hAnsi="Times New Roman" w:cs="Times New Roman"/>
                <w:sz w:val="24"/>
                <w:szCs w:val="24"/>
              </w:rPr>
              <w:t>omisijas darba rezultātā iegūtā informācija</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highlight w:val="yellow"/>
              </w:rPr>
            </w:pPr>
            <w:r w:rsidRPr="00DA7B56">
              <w:rPr>
                <w:rFonts w:ascii="Times New Roman" w:hAnsi="Times New Roman" w:cs="Times New Roman"/>
                <w:sz w:val="24"/>
                <w:szCs w:val="24"/>
              </w:rPr>
              <w:t>313</w:t>
            </w:r>
          </w:p>
        </w:tc>
      </w:tr>
      <w:tr w:rsidR="00DA7B56" w:rsidRPr="00DA7B56" w:rsidTr="00357BF9">
        <w:trPr>
          <w:jc w:val="center"/>
        </w:trPr>
        <w:tc>
          <w:tcPr>
            <w:tcW w:w="418" w:type="dxa"/>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11</w:t>
            </w:r>
            <w:r w:rsidR="002C32CD">
              <w:rPr>
                <w:rFonts w:ascii="Times New Roman" w:hAnsi="Times New Roman" w:cs="Times New Roman"/>
                <w:sz w:val="24"/>
                <w:szCs w:val="24"/>
              </w:rPr>
              <w:t>.</w:t>
            </w:r>
          </w:p>
        </w:tc>
        <w:tc>
          <w:tcPr>
            <w:tcW w:w="4420" w:type="dxa"/>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Komisijas mājaslapas uzturēšana, pastāvīga aktualizācija un e-pasta izveidošana, uzturēšana</w:t>
            </w:r>
          </w:p>
        </w:tc>
        <w:tc>
          <w:tcPr>
            <w:tcW w:w="3781" w:type="dxa"/>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Dažādai sabiedrībai pieejama plaša, vispusīga informācija par PSRS okupācijas jautājumiem</w:t>
            </w:r>
          </w:p>
        </w:tc>
        <w:tc>
          <w:tcPr>
            <w:tcW w:w="884" w:type="dxa"/>
          </w:tcPr>
          <w:p w:rsidR="00DA7B56" w:rsidRPr="00DA7B56" w:rsidRDefault="00DA7B56" w:rsidP="009F4321">
            <w:pPr>
              <w:spacing w:before="40" w:after="0" w:line="240" w:lineRule="auto"/>
              <w:jc w:val="center"/>
              <w:rPr>
                <w:rFonts w:ascii="Times New Roman" w:hAnsi="Times New Roman" w:cs="Times New Roman"/>
                <w:sz w:val="24"/>
                <w:szCs w:val="24"/>
                <w:highlight w:val="green"/>
              </w:rPr>
            </w:pPr>
            <w:r w:rsidRPr="00DA7B56">
              <w:rPr>
                <w:rFonts w:ascii="Times New Roman" w:hAnsi="Times New Roman" w:cs="Times New Roman"/>
                <w:sz w:val="24"/>
                <w:szCs w:val="24"/>
              </w:rPr>
              <w:t>900</w:t>
            </w:r>
          </w:p>
        </w:tc>
      </w:tr>
      <w:tr w:rsidR="00DA7B56" w:rsidRPr="00DA7B56" w:rsidTr="00357BF9">
        <w:trPr>
          <w:jc w:val="center"/>
        </w:trPr>
        <w:tc>
          <w:tcPr>
            <w:tcW w:w="418"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12</w:t>
            </w:r>
            <w:r w:rsidR="002C32CD">
              <w:rPr>
                <w:rFonts w:ascii="Times New Roman" w:hAnsi="Times New Roman" w:cs="Times New Roman"/>
                <w:sz w:val="24"/>
                <w:szCs w:val="24"/>
              </w:rPr>
              <w:t>.</w:t>
            </w:r>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Tulkošanas darbi</w:t>
            </w:r>
          </w:p>
        </w:tc>
        <w:tc>
          <w:tcPr>
            <w:tcW w:w="3781"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Starptautiskai sabiedrībai pieejama informācija par Komisijas darbu u.c. informācija par okupācijas jautājumiem</w:t>
            </w:r>
          </w:p>
        </w:tc>
        <w:tc>
          <w:tcPr>
            <w:tcW w:w="884" w:type="dxa"/>
            <w:tcBorders>
              <w:top w:val="single" w:sz="4" w:space="0" w:color="auto"/>
              <w:left w:val="single" w:sz="4" w:space="0" w:color="auto"/>
              <w:bottom w:val="single" w:sz="4" w:space="0" w:color="auto"/>
              <w:right w:val="single" w:sz="4" w:space="0" w:color="auto"/>
            </w:tcBorders>
          </w:tcPr>
          <w:p w:rsidR="00DA7B56" w:rsidRPr="00DA7B56" w:rsidRDefault="00DA7B56" w:rsidP="009F4321">
            <w:pPr>
              <w:spacing w:before="40" w:after="0" w:line="240" w:lineRule="auto"/>
              <w:jc w:val="center"/>
              <w:rPr>
                <w:rFonts w:ascii="Times New Roman" w:hAnsi="Times New Roman" w:cs="Times New Roman"/>
                <w:sz w:val="24"/>
                <w:szCs w:val="24"/>
                <w:highlight w:val="yellow"/>
              </w:rPr>
            </w:pPr>
            <w:r w:rsidRPr="00DA7B56">
              <w:rPr>
                <w:rFonts w:ascii="Times New Roman" w:hAnsi="Times New Roman" w:cs="Times New Roman"/>
                <w:sz w:val="24"/>
                <w:szCs w:val="24"/>
              </w:rPr>
              <w:t>2996</w:t>
            </w:r>
          </w:p>
        </w:tc>
      </w:tr>
      <w:tr w:rsidR="00DA7B56" w:rsidRPr="00DA7B56" w:rsidTr="00357BF9">
        <w:trPr>
          <w:jc w:val="center"/>
        </w:trPr>
        <w:tc>
          <w:tcPr>
            <w:tcW w:w="418" w:type="dxa"/>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13</w:t>
            </w:r>
            <w:r w:rsidR="002C32CD">
              <w:rPr>
                <w:rFonts w:ascii="Times New Roman" w:hAnsi="Times New Roman" w:cs="Times New Roman"/>
                <w:sz w:val="24"/>
                <w:szCs w:val="24"/>
              </w:rPr>
              <w:t>.</w:t>
            </w:r>
          </w:p>
        </w:tc>
        <w:tc>
          <w:tcPr>
            <w:tcW w:w="4420" w:type="dxa"/>
            <w:shd w:val="clear" w:color="auto" w:fill="auto"/>
          </w:tcPr>
          <w:p w:rsidR="00DA7B56" w:rsidRPr="00DA7B56" w:rsidRDefault="00DA7B56" w:rsidP="009F4321">
            <w:pPr>
              <w:pStyle w:val="c4"/>
              <w:spacing w:before="40" w:beforeAutospacing="0" w:after="0" w:afterAutospacing="0"/>
            </w:pPr>
            <w:r w:rsidRPr="00DA7B56">
              <w:rPr>
                <w:rStyle w:val="c1"/>
                <w:rFonts w:eastAsia="Calibri"/>
              </w:rPr>
              <w:t xml:space="preserve">Materiālu ievietošana vietnē </w:t>
            </w:r>
            <w:hyperlink r:id="rId9" w:history="1">
              <w:r w:rsidRPr="00DA7B56">
                <w:rPr>
                  <w:rStyle w:val="Hipersaite"/>
                  <w:rFonts w:eastAsia="Calibri"/>
                  <w:i/>
                </w:rPr>
                <w:t>www.barikadopedija.lv</w:t>
              </w:r>
            </w:hyperlink>
            <w:r w:rsidRPr="00DA7B56">
              <w:rPr>
                <w:rStyle w:val="c1"/>
                <w:rFonts w:eastAsia="Calibri"/>
              </w:rPr>
              <w:t xml:space="preserve"> par PSRS okupācijas noslēgumā veiktajiem pasākumiem, lai norobežotos no PSRS tautsaimniecības, kas Baltijas republikām, tai skaitā Latvijai radīja milzīgus zaudējumus</w:t>
            </w:r>
          </w:p>
        </w:tc>
        <w:tc>
          <w:tcPr>
            <w:tcW w:w="3781" w:type="dxa"/>
          </w:tcPr>
          <w:p w:rsidR="00DA7B56" w:rsidRPr="00DA7B56" w:rsidRDefault="00DA7B56" w:rsidP="009F4321">
            <w:pPr>
              <w:pStyle w:val="c7"/>
              <w:spacing w:before="40" w:beforeAutospacing="0" w:after="0" w:afterAutospacing="0"/>
            </w:pPr>
            <w:r w:rsidRPr="00DA7B56">
              <w:rPr>
                <w:rStyle w:val="c6"/>
              </w:rPr>
              <w:t xml:space="preserve">Interneta vietne </w:t>
            </w:r>
            <w:hyperlink r:id="rId10" w:history="1">
              <w:r w:rsidRPr="00DA7B56">
                <w:rPr>
                  <w:rStyle w:val="Hipersaite"/>
                  <w:rFonts w:eastAsia="Calibri"/>
                  <w:i/>
                  <w:iCs/>
                </w:rPr>
                <w:t>www.barikadopedija.lv</w:t>
              </w:r>
            </w:hyperlink>
            <w:r w:rsidRPr="00DA7B56">
              <w:rPr>
                <w:rStyle w:val="c6"/>
                <w:iCs/>
              </w:rPr>
              <w:t xml:space="preserve"> </w:t>
            </w:r>
            <w:r w:rsidRPr="00DA7B56">
              <w:rPr>
                <w:rStyle w:val="c6"/>
              </w:rPr>
              <w:t xml:space="preserve">ir papildināta ar precīzāku informāciju par ekonomiskiem procesiem Latvijā pirms PSRS sabrukšanas un neatkarības atgūšanas </w:t>
            </w:r>
            <w:r w:rsidRPr="00DA7B56">
              <w:rPr>
                <w:rStyle w:val="c1"/>
                <w:rFonts w:eastAsia="Calibri"/>
              </w:rPr>
              <w:t>(vairāk nekā 120 rakstu), kā arī pārpublicēta daļa no PSRS Tautas deputātu 2. kongresa sēžu stenogrammām</w:t>
            </w:r>
          </w:p>
        </w:tc>
        <w:tc>
          <w:tcPr>
            <w:tcW w:w="884" w:type="dxa"/>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1700</w:t>
            </w:r>
          </w:p>
        </w:tc>
      </w:tr>
      <w:tr w:rsidR="00DA7B56" w:rsidRPr="00DA7B56" w:rsidTr="00357BF9">
        <w:trPr>
          <w:jc w:val="center"/>
        </w:trPr>
        <w:tc>
          <w:tcPr>
            <w:tcW w:w="418" w:type="dxa"/>
            <w:shd w:val="clear" w:color="auto" w:fill="auto"/>
          </w:tcPr>
          <w:p w:rsidR="00DA7B56" w:rsidRPr="00DA7B56" w:rsidRDefault="00DA7B56" w:rsidP="009F4321">
            <w:pPr>
              <w:pStyle w:val="Paraststmeklis"/>
              <w:spacing w:before="40" w:beforeAutospacing="0" w:after="0" w:afterAutospacing="0"/>
            </w:pPr>
            <w:r w:rsidRPr="00DA7B56">
              <w:t>14</w:t>
            </w:r>
          </w:p>
        </w:tc>
        <w:tc>
          <w:tcPr>
            <w:tcW w:w="4420" w:type="dxa"/>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Ekspertīze 2014.-2015.</w:t>
            </w:r>
            <w:r w:rsidR="00381204">
              <w:rPr>
                <w:rFonts w:ascii="Times New Roman" w:hAnsi="Times New Roman" w:cs="Times New Roman"/>
                <w:sz w:val="24"/>
                <w:szCs w:val="24"/>
              </w:rPr>
              <w:t> </w:t>
            </w:r>
            <w:r w:rsidRPr="00DA7B56">
              <w:rPr>
                <w:rFonts w:ascii="Times New Roman" w:hAnsi="Times New Roman" w:cs="Times New Roman"/>
                <w:sz w:val="24"/>
                <w:szCs w:val="24"/>
              </w:rPr>
              <w:t>gadā izstrādātam darbam par PSRS laika demogrāfiskajiem zaudējumiem</w:t>
            </w:r>
          </w:p>
          <w:p w:rsidR="00DA7B56" w:rsidRPr="00DA7B56" w:rsidRDefault="00DA7B56" w:rsidP="009F4321">
            <w:pPr>
              <w:spacing w:before="40" w:after="0" w:line="240" w:lineRule="auto"/>
              <w:rPr>
                <w:rFonts w:ascii="Times New Roman" w:hAnsi="Times New Roman" w:cs="Times New Roman"/>
                <w:sz w:val="24"/>
                <w:szCs w:val="24"/>
              </w:rPr>
            </w:pPr>
          </w:p>
        </w:tc>
        <w:tc>
          <w:tcPr>
            <w:tcW w:w="3781" w:type="dxa"/>
            <w:shd w:val="clear" w:color="auto" w:fill="auto"/>
          </w:tcPr>
          <w:p w:rsidR="00DA7B56" w:rsidRPr="00DA7B56" w:rsidRDefault="00DA7B56" w:rsidP="009F4321">
            <w:pPr>
              <w:spacing w:before="40" w:after="0" w:line="240" w:lineRule="auto"/>
              <w:rPr>
                <w:rFonts w:ascii="Times New Roman" w:hAnsi="Times New Roman" w:cs="Times New Roman"/>
                <w:color w:val="000000"/>
                <w:sz w:val="24"/>
                <w:szCs w:val="24"/>
              </w:rPr>
            </w:pPr>
            <w:proofErr w:type="spellStart"/>
            <w:r w:rsidRPr="00DA7B56">
              <w:rPr>
                <w:rFonts w:ascii="Times New Roman" w:hAnsi="Times New Roman" w:cs="Times New Roman"/>
                <w:sz w:val="24"/>
                <w:szCs w:val="24"/>
              </w:rPr>
              <w:t>Ekspertētais</w:t>
            </w:r>
            <w:proofErr w:type="spellEnd"/>
            <w:r w:rsidRPr="00DA7B56">
              <w:rPr>
                <w:rFonts w:ascii="Times New Roman" w:hAnsi="Times New Roman" w:cs="Times New Roman"/>
                <w:sz w:val="24"/>
                <w:szCs w:val="24"/>
              </w:rPr>
              <w:t xml:space="preserve"> darbs ir gatavs ievietošanai zinātniski pētnieciskos darbos izmantojamā demogrāfisko datu par</w:t>
            </w:r>
            <w:r w:rsidR="00612EFB">
              <w:rPr>
                <w:rFonts w:ascii="Times New Roman" w:hAnsi="Times New Roman" w:cs="Times New Roman"/>
                <w:sz w:val="24"/>
                <w:szCs w:val="24"/>
              </w:rPr>
              <w:t xml:space="preserve"> PSRS laika periodu 1940.-1990.</w:t>
            </w:r>
            <w:r w:rsidR="00381204">
              <w:rPr>
                <w:rFonts w:ascii="Times New Roman" w:hAnsi="Times New Roman" w:cs="Times New Roman"/>
                <w:sz w:val="24"/>
                <w:szCs w:val="24"/>
              </w:rPr>
              <w:t> </w:t>
            </w:r>
            <w:r w:rsidRPr="00DA7B56">
              <w:rPr>
                <w:rFonts w:ascii="Times New Roman" w:hAnsi="Times New Roman" w:cs="Times New Roman"/>
                <w:sz w:val="24"/>
                <w:szCs w:val="24"/>
              </w:rPr>
              <w:t>gadam Latvijā apkopojumā</w:t>
            </w:r>
          </w:p>
        </w:tc>
        <w:tc>
          <w:tcPr>
            <w:tcW w:w="884" w:type="dxa"/>
          </w:tcPr>
          <w:p w:rsidR="00DA7B56" w:rsidRPr="00DA7B56" w:rsidRDefault="00DA7B56" w:rsidP="009F4321">
            <w:pPr>
              <w:pStyle w:val="Paraststmeklis"/>
              <w:spacing w:before="40" w:beforeAutospacing="0" w:after="0" w:afterAutospacing="0"/>
              <w:jc w:val="center"/>
            </w:pPr>
            <w:r w:rsidRPr="00DA7B56">
              <w:t>1000</w:t>
            </w:r>
          </w:p>
        </w:tc>
      </w:tr>
      <w:tr w:rsidR="00DA7B56" w:rsidRPr="00DA7B56" w:rsidTr="00357BF9">
        <w:trPr>
          <w:jc w:val="center"/>
        </w:trPr>
        <w:tc>
          <w:tcPr>
            <w:tcW w:w="418" w:type="dxa"/>
            <w:shd w:val="clear" w:color="auto" w:fill="auto"/>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t>15</w:t>
            </w:r>
            <w:r w:rsidR="002C32CD">
              <w:rPr>
                <w:rFonts w:ascii="Times New Roman" w:hAnsi="Times New Roman" w:cs="Times New Roman"/>
                <w:sz w:val="24"/>
                <w:szCs w:val="24"/>
              </w:rPr>
              <w:t>.</w:t>
            </w:r>
          </w:p>
        </w:tc>
        <w:tc>
          <w:tcPr>
            <w:tcW w:w="4420" w:type="dxa"/>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Tehniski organizatoriskie darbi</w:t>
            </w:r>
          </w:p>
        </w:tc>
        <w:tc>
          <w:tcPr>
            <w:tcW w:w="3781" w:type="dxa"/>
            <w:shd w:val="clear" w:color="auto" w:fill="auto"/>
          </w:tcPr>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Nodrošināta Komisijas 2016. gada darbu plāna izpilde:</w:t>
            </w:r>
          </w:p>
          <w:p w:rsidR="00DA7B56" w:rsidRPr="00DA7B56" w:rsidRDefault="00DA7B56" w:rsidP="009F4321">
            <w:pPr>
              <w:spacing w:before="40" w:after="0" w:line="240" w:lineRule="auto"/>
              <w:rPr>
                <w:rFonts w:ascii="Times New Roman" w:hAnsi="Times New Roman" w:cs="Times New Roman"/>
                <w:sz w:val="24"/>
                <w:szCs w:val="24"/>
              </w:rPr>
            </w:pPr>
            <w:proofErr w:type="gramStart"/>
            <w:r w:rsidRPr="00DA7B56">
              <w:rPr>
                <w:rFonts w:ascii="Times New Roman" w:hAnsi="Times New Roman" w:cs="Times New Roman"/>
                <w:sz w:val="24"/>
                <w:szCs w:val="24"/>
              </w:rPr>
              <w:lastRenderedPageBreak/>
              <w:t>1. Izstrādāti priekšlikumi</w:t>
            </w:r>
            <w:proofErr w:type="gramEnd"/>
            <w:r w:rsidRPr="00DA7B56">
              <w:rPr>
                <w:rFonts w:ascii="Times New Roman" w:hAnsi="Times New Roman" w:cs="Times New Roman"/>
                <w:sz w:val="24"/>
                <w:szCs w:val="24"/>
              </w:rPr>
              <w:t xml:space="preserve"> par Komisijas mājaslapā ievietojamu informāciju saskaņā ar darba plānu;</w:t>
            </w:r>
          </w:p>
          <w:p w:rsidR="00DA7B56" w:rsidRPr="00DA7B56" w:rsidRDefault="00DA7B56" w:rsidP="009F4321">
            <w:pPr>
              <w:spacing w:before="40" w:after="0" w:line="240" w:lineRule="auto"/>
              <w:rPr>
                <w:rFonts w:ascii="Times New Roman" w:hAnsi="Times New Roman" w:cs="Times New Roman"/>
                <w:sz w:val="24"/>
                <w:szCs w:val="24"/>
              </w:rPr>
            </w:pPr>
            <w:proofErr w:type="gramStart"/>
            <w:r w:rsidRPr="00DA7B56">
              <w:rPr>
                <w:rFonts w:ascii="Times New Roman" w:hAnsi="Times New Roman" w:cs="Times New Roman"/>
                <w:sz w:val="24"/>
                <w:szCs w:val="24"/>
              </w:rPr>
              <w:t>2. Izstrādāti priekšlikumi</w:t>
            </w:r>
            <w:proofErr w:type="gramEnd"/>
            <w:r w:rsidRPr="00DA7B56">
              <w:rPr>
                <w:rFonts w:ascii="Times New Roman" w:hAnsi="Times New Roman" w:cs="Times New Roman"/>
                <w:sz w:val="24"/>
                <w:szCs w:val="24"/>
              </w:rPr>
              <w:t xml:space="preserve"> par intervējamām personām Komisijai un noorganizētas trīs intervijas;</w:t>
            </w:r>
          </w:p>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3. Noorganizētas piecas tikšanās ar Lietuvas un Igaunijas kolēģiem;</w:t>
            </w:r>
          </w:p>
          <w:p w:rsidR="00DA7B56" w:rsidRPr="00DA7B56" w:rsidRDefault="00DA7B56" w:rsidP="009F4321">
            <w:pPr>
              <w:spacing w:before="40" w:after="0" w:line="240" w:lineRule="auto"/>
              <w:rPr>
                <w:rFonts w:ascii="Times New Roman" w:hAnsi="Times New Roman" w:cs="Times New Roman"/>
                <w:sz w:val="24"/>
                <w:szCs w:val="24"/>
              </w:rPr>
            </w:pPr>
            <w:r w:rsidRPr="00DA7B56">
              <w:rPr>
                <w:rFonts w:ascii="Times New Roman" w:hAnsi="Times New Roman" w:cs="Times New Roman"/>
                <w:sz w:val="24"/>
                <w:szCs w:val="24"/>
              </w:rPr>
              <w:t xml:space="preserve">4. Veikti Komisijas izdoto trīs grāmatu – </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Latvijas rūpniecība pirms un pēc neatkarības atgūšanas</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 xml:space="preserve">, </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Padomju Savienības nodarītie zaudējumi Baltijā</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 xml:space="preserve">, </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Padomju impērijas koloniālā politika un La</w:t>
            </w:r>
            <w:r w:rsidR="00612EFB">
              <w:rPr>
                <w:rFonts w:ascii="Times New Roman" w:hAnsi="Times New Roman" w:cs="Times New Roman"/>
                <w:sz w:val="24"/>
                <w:szCs w:val="24"/>
              </w:rPr>
              <w:t>tvijas kolonizācija 1940.-1990.</w:t>
            </w:r>
            <w:r w:rsidR="00381204">
              <w:rPr>
                <w:rFonts w:ascii="Times New Roman" w:hAnsi="Times New Roman" w:cs="Times New Roman"/>
                <w:sz w:val="24"/>
                <w:szCs w:val="24"/>
              </w:rPr>
              <w:t> </w:t>
            </w:r>
            <w:r w:rsidRPr="00DA7B56">
              <w:rPr>
                <w:rFonts w:ascii="Times New Roman" w:hAnsi="Times New Roman" w:cs="Times New Roman"/>
                <w:sz w:val="24"/>
                <w:szCs w:val="24"/>
              </w:rPr>
              <w:t>gads</w:t>
            </w:r>
            <w:r w:rsidR="00381204" w:rsidRPr="00381204">
              <w:rPr>
                <w:rFonts w:ascii="Times New Roman" w:hAnsi="Times New Roman" w:cs="Times New Roman"/>
                <w:sz w:val="24"/>
                <w:szCs w:val="24"/>
              </w:rPr>
              <w:t>"</w:t>
            </w:r>
            <w:r w:rsidRPr="00DA7B56">
              <w:rPr>
                <w:rFonts w:ascii="Times New Roman" w:hAnsi="Times New Roman" w:cs="Times New Roman"/>
                <w:sz w:val="24"/>
                <w:szCs w:val="24"/>
              </w:rPr>
              <w:t xml:space="preserve"> –</w:t>
            </w:r>
            <w:r w:rsidR="008A78ED">
              <w:rPr>
                <w:rFonts w:ascii="Times New Roman" w:hAnsi="Times New Roman" w:cs="Times New Roman"/>
                <w:sz w:val="24"/>
                <w:szCs w:val="24"/>
              </w:rPr>
              <w:t xml:space="preserve"> </w:t>
            </w:r>
            <w:r w:rsidRPr="00DA7B56">
              <w:rPr>
                <w:rFonts w:ascii="Times New Roman" w:hAnsi="Times New Roman" w:cs="Times New Roman"/>
                <w:sz w:val="24"/>
                <w:szCs w:val="24"/>
              </w:rPr>
              <w:t>prezentēšanas un izplatīšanas tehniskie darbi (4000</w:t>
            </w:r>
            <w:r w:rsidR="00381204">
              <w:rPr>
                <w:rFonts w:ascii="Times New Roman" w:hAnsi="Times New Roman" w:cs="Times New Roman"/>
                <w:sz w:val="24"/>
                <w:szCs w:val="24"/>
              </w:rPr>
              <w:t> </w:t>
            </w:r>
            <w:r w:rsidRPr="00DA7B56">
              <w:rPr>
                <w:rFonts w:ascii="Times New Roman" w:hAnsi="Times New Roman" w:cs="Times New Roman"/>
                <w:sz w:val="24"/>
                <w:szCs w:val="24"/>
              </w:rPr>
              <w:t>eks.).</w:t>
            </w:r>
          </w:p>
        </w:tc>
        <w:tc>
          <w:tcPr>
            <w:tcW w:w="884" w:type="dxa"/>
          </w:tcPr>
          <w:p w:rsidR="00DA7B56" w:rsidRPr="00DA7B56" w:rsidRDefault="00DA7B56" w:rsidP="009F4321">
            <w:pPr>
              <w:spacing w:before="40" w:after="0" w:line="240" w:lineRule="auto"/>
              <w:jc w:val="center"/>
              <w:rPr>
                <w:rFonts w:ascii="Times New Roman" w:hAnsi="Times New Roman" w:cs="Times New Roman"/>
                <w:sz w:val="24"/>
                <w:szCs w:val="24"/>
              </w:rPr>
            </w:pPr>
            <w:r w:rsidRPr="00DA7B56">
              <w:rPr>
                <w:rFonts w:ascii="Times New Roman" w:hAnsi="Times New Roman" w:cs="Times New Roman"/>
                <w:sz w:val="24"/>
                <w:szCs w:val="24"/>
              </w:rPr>
              <w:lastRenderedPageBreak/>
              <w:t>2495</w:t>
            </w:r>
          </w:p>
          <w:p w:rsidR="00DA7B56" w:rsidRPr="00DA7B56" w:rsidRDefault="00DA7B56" w:rsidP="009F4321">
            <w:pPr>
              <w:spacing w:before="40" w:after="0" w:line="240" w:lineRule="auto"/>
              <w:jc w:val="center"/>
              <w:rPr>
                <w:rFonts w:ascii="Times New Roman" w:hAnsi="Times New Roman" w:cs="Times New Roman"/>
                <w:sz w:val="24"/>
                <w:szCs w:val="24"/>
              </w:rPr>
            </w:pPr>
          </w:p>
        </w:tc>
      </w:tr>
      <w:tr w:rsidR="00DA7B56" w:rsidRPr="00DA7B56" w:rsidTr="00357BF9">
        <w:trPr>
          <w:jc w:val="center"/>
        </w:trPr>
        <w:tc>
          <w:tcPr>
            <w:tcW w:w="8619" w:type="dxa"/>
            <w:gridSpan w:val="3"/>
            <w:shd w:val="clear" w:color="auto" w:fill="auto"/>
          </w:tcPr>
          <w:p w:rsidR="00DA7B56" w:rsidRPr="00DA7B56" w:rsidRDefault="00DA7B56" w:rsidP="009F4321">
            <w:pPr>
              <w:spacing w:before="40" w:after="0"/>
              <w:jc w:val="right"/>
              <w:rPr>
                <w:rFonts w:ascii="Times New Roman" w:hAnsi="Times New Roman" w:cs="Times New Roman"/>
                <w:b/>
                <w:sz w:val="24"/>
                <w:szCs w:val="24"/>
              </w:rPr>
            </w:pPr>
            <w:r w:rsidRPr="00DA7B56">
              <w:rPr>
                <w:rFonts w:ascii="Times New Roman" w:hAnsi="Times New Roman" w:cs="Times New Roman"/>
                <w:b/>
                <w:sz w:val="24"/>
                <w:szCs w:val="24"/>
              </w:rPr>
              <w:lastRenderedPageBreak/>
              <w:t xml:space="preserve">Kopā </w:t>
            </w:r>
          </w:p>
        </w:tc>
        <w:tc>
          <w:tcPr>
            <w:tcW w:w="884" w:type="dxa"/>
          </w:tcPr>
          <w:p w:rsidR="00DA7B56" w:rsidRPr="00DA7B56" w:rsidRDefault="00DA7B56" w:rsidP="009F4321">
            <w:pPr>
              <w:spacing w:before="60" w:after="60"/>
              <w:ind w:left="-169" w:right="-137"/>
              <w:jc w:val="center"/>
              <w:rPr>
                <w:rFonts w:ascii="Times New Roman" w:hAnsi="Times New Roman" w:cs="Times New Roman"/>
                <w:b/>
                <w:sz w:val="24"/>
                <w:szCs w:val="24"/>
              </w:rPr>
            </w:pPr>
            <w:r w:rsidRPr="00DA7B56">
              <w:rPr>
                <w:rFonts w:ascii="Times New Roman" w:hAnsi="Times New Roman" w:cs="Times New Roman"/>
                <w:b/>
                <w:sz w:val="24"/>
                <w:szCs w:val="24"/>
              </w:rPr>
              <w:fldChar w:fldCharType="begin"/>
            </w:r>
            <w:r w:rsidRPr="00DA7B56">
              <w:rPr>
                <w:rFonts w:ascii="Times New Roman" w:hAnsi="Times New Roman" w:cs="Times New Roman"/>
                <w:b/>
                <w:sz w:val="24"/>
                <w:szCs w:val="24"/>
              </w:rPr>
              <w:instrText xml:space="preserve"> =SUM(ABOVE) </w:instrText>
            </w:r>
            <w:r w:rsidRPr="00DA7B56">
              <w:rPr>
                <w:rFonts w:ascii="Times New Roman" w:hAnsi="Times New Roman" w:cs="Times New Roman"/>
                <w:b/>
                <w:sz w:val="24"/>
                <w:szCs w:val="24"/>
              </w:rPr>
              <w:fldChar w:fldCharType="separate"/>
            </w:r>
            <w:r w:rsidRPr="00DA7B56">
              <w:rPr>
                <w:rFonts w:ascii="Times New Roman" w:hAnsi="Times New Roman" w:cs="Times New Roman"/>
                <w:b/>
                <w:noProof/>
                <w:sz w:val="24"/>
                <w:szCs w:val="24"/>
              </w:rPr>
              <w:t>35 427</w:t>
            </w:r>
            <w:r w:rsidRPr="00DA7B56">
              <w:rPr>
                <w:rFonts w:ascii="Times New Roman" w:hAnsi="Times New Roman" w:cs="Times New Roman"/>
                <w:b/>
                <w:sz w:val="24"/>
                <w:szCs w:val="24"/>
              </w:rPr>
              <w:fldChar w:fldCharType="end"/>
            </w:r>
          </w:p>
        </w:tc>
      </w:tr>
    </w:tbl>
    <w:p w:rsidR="00F82B82" w:rsidRPr="00884389" w:rsidRDefault="00F82B82" w:rsidP="005D3CB2">
      <w:pPr>
        <w:suppressAutoHyphens/>
        <w:spacing w:after="0" w:line="240" w:lineRule="auto"/>
        <w:ind w:left="284" w:hanging="284"/>
        <w:jc w:val="both"/>
        <w:rPr>
          <w:rFonts w:ascii="Times New Roman" w:eastAsia="Times New Roman" w:hAnsi="Times New Roman" w:cs="Times New Roman"/>
          <w:sz w:val="24"/>
          <w:szCs w:val="24"/>
          <w:lang w:eastAsia="lv-LV"/>
        </w:rPr>
      </w:pPr>
    </w:p>
    <w:p w:rsidR="00E035DE" w:rsidRDefault="00E035DE" w:rsidP="00357BF9">
      <w:pPr>
        <w:tabs>
          <w:tab w:val="left" w:pos="7371"/>
          <w:tab w:val="right" w:pos="13608"/>
        </w:tabs>
        <w:spacing w:after="0" w:line="240" w:lineRule="auto"/>
        <w:rPr>
          <w:rFonts w:ascii="Times New Roman" w:hAnsi="Times New Roman" w:cs="Times New Roman"/>
          <w:sz w:val="24"/>
          <w:szCs w:val="24"/>
        </w:rPr>
      </w:pPr>
      <w:r w:rsidRPr="00AB3085">
        <w:rPr>
          <w:rFonts w:ascii="Times New Roman" w:hAnsi="Times New Roman" w:cs="Times New Roman"/>
          <w:sz w:val="24"/>
          <w:szCs w:val="24"/>
        </w:rPr>
        <w:t>Tieslietu ministrs</w:t>
      </w:r>
      <w:r w:rsidR="00EE3241">
        <w:rPr>
          <w:rFonts w:ascii="Times New Roman" w:hAnsi="Times New Roman" w:cs="Times New Roman"/>
          <w:sz w:val="24"/>
          <w:szCs w:val="24"/>
        </w:rPr>
        <w:tab/>
      </w:r>
      <w:r w:rsidRPr="00AB3085">
        <w:rPr>
          <w:rFonts w:ascii="Times New Roman" w:hAnsi="Times New Roman" w:cs="Times New Roman"/>
          <w:sz w:val="24"/>
          <w:szCs w:val="24"/>
        </w:rPr>
        <w:t>Dzintars Rasnačs</w:t>
      </w:r>
    </w:p>
    <w:p w:rsidR="00EE3241" w:rsidRDefault="00EE3241" w:rsidP="00357BF9">
      <w:pPr>
        <w:tabs>
          <w:tab w:val="left" w:pos="7371"/>
          <w:tab w:val="right" w:pos="13608"/>
        </w:tabs>
        <w:spacing w:after="0" w:line="240" w:lineRule="auto"/>
        <w:rPr>
          <w:rFonts w:ascii="Times New Roman" w:hAnsi="Times New Roman" w:cs="Times New Roman"/>
          <w:sz w:val="24"/>
          <w:szCs w:val="24"/>
        </w:rPr>
      </w:pPr>
    </w:p>
    <w:p w:rsidR="00EE3241" w:rsidRDefault="00EE3241" w:rsidP="00357BF9">
      <w:pPr>
        <w:tabs>
          <w:tab w:val="left" w:pos="7371"/>
          <w:tab w:val="right" w:pos="13608"/>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EE3241" w:rsidRPr="00AB3085" w:rsidRDefault="00EE3241" w:rsidP="00357BF9">
      <w:pPr>
        <w:tabs>
          <w:tab w:val="left" w:pos="7371"/>
          <w:tab w:val="right" w:pos="13608"/>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t>Dzintars Rasnačs</w:t>
      </w:r>
    </w:p>
    <w:p w:rsidR="00F82B82" w:rsidRDefault="00F82B82" w:rsidP="00F82B82">
      <w:pPr>
        <w:suppressAutoHyphens/>
        <w:spacing w:after="0" w:line="240" w:lineRule="auto"/>
        <w:ind w:left="284" w:hanging="284"/>
        <w:jc w:val="both"/>
        <w:rPr>
          <w:rFonts w:ascii="Times New Roman" w:hAnsi="Times New Roman"/>
          <w:sz w:val="20"/>
          <w:szCs w:val="20"/>
        </w:rPr>
      </w:pPr>
    </w:p>
    <w:p w:rsidR="00884389" w:rsidRDefault="00884389" w:rsidP="00F82B82">
      <w:pPr>
        <w:suppressAutoHyphens/>
        <w:spacing w:after="0" w:line="240" w:lineRule="auto"/>
        <w:ind w:left="284" w:hanging="284"/>
        <w:jc w:val="both"/>
        <w:rPr>
          <w:rFonts w:ascii="Times New Roman" w:hAnsi="Times New Roman"/>
          <w:sz w:val="20"/>
          <w:szCs w:val="20"/>
        </w:rPr>
      </w:pPr>
    </w:p>
    <w:p w:rsidR="00F82B82" w:rsidRDefault="00DA7B56" w:rsidP="00F82B82">
      <w:pPr>
        <w:suppressAutoHyphens/>
        <w:spacing w:after="0" w:line="240" w:lineRule="auto"/>
        <w:ind w:left="284" w:hanging="284"/>
        <w:jc w:val="both"/>
        <w:rPr>
          <w:rFonts w:ascii="Times New Roman" w:hAnsi="Times New Roman"/>
          <w:sz w:val="20"/>
          <w:szCs w:val="20"/>
        </w:rPr>
      </w:pPr>
      <w:r>
        <w:rPr>
          <w:rFonts w:ascii="Times New Roman" w:hAnsi="Times New Roman"/>
          <w:sz w:val="20"/>
          <w:szCs w:val="20"/>
        </w:rPr>
        <w:t>09.01.2017</w:t>
      </w:r>
      <w:r w:rsidR="00F82B82">
        <w:rPr>
          <w:rFonts w:ascii="Times New Roman" w:hAnsi="Times New Roman"/>
          <w:sz w:val="20"/>
          <w:szCs w:val="20"/>
        </w:rPr>
        <w:t xml:space="preserve">. </w:t>
      </w:r>
      <w:r w:rsidR="0093740C">
        <w:rPr>
          <w:rFonts w:ascii="Times New Roman" w:hAnsi="Times New Roman"/>
          <w:sz w:val="20"/>
          <w:szCs w:val="20"/>
        </w:rPr>
        <w:t>10:40</w:t>
      </w:r>
    </w:p>
    <w:p w:rsidR="00F82B82" w:rsidRDefault="00DA7B56" w:rsidP="00F82B82">
      <w:pPr>
        <w:suppressAutoHyphens/>
        <w:spacing w:after="0" w:line="240" w:lineRule="auto"/>
        <w:ind w:left="284" w:hanging="284"/>
        <w:jc w:val="both"/>
        <w:rPr>
          <w:rFonts w:ascii="Times New Roman" w:hAnsi="Times New Roman"/>
          <w:sz w:val="20"/>
          <w:szCs w:val="20"/>
        </w:rPr>
      </w:pPr>
      <w:r>
        <w:rPr>
          <w:rFonts w:ascii="Times New Roman" w:hAnsi="Times New Roman"/>
          <w:sz w:val="20"/>
          <w:szCs w:val="20"/>
        </w:rPr>
        <w:t>62</w:t>
      </w:r>
      <w:r w:rsidR="00401227">
        <w:rPr>
          <w:rFonts w:ascii="Times New Roman" w:hAnsi="Times New Roman"/>
          <w:sz w:val="20"/>
          <w:szCs w:val="20"/>
        </w:rPr>
        <w:t>7</w:t>
      </w:r>
    </w:p>
    <w:p w:rsidR="00F82B82" w:rsidRDefault="00401227" w:rsidP="00F82B82">
      <w:pPr>
        <w:suppressAutoHyphens/>
        <w:spacing w:after="0" w:line="240" w:lineRule="auto"/>
        <w:ind w:left="284" w:hanging="284"/>
        <w:jc w:val="both"/>
        <w:rPr>
          <w:rFonts w:ascii="Times New Roman" w:eastAsia="Times New Roman" w:hAnsi="Times New Roman" w:cs="Times New Roman"/>
          <w:color w:val="000000"/>
          <w:sz w:val="20"/>
          <w:szCs w:val="20"/>
          <w:shd w:val="clear" w:color="auto" w:fill="FFFFFF"/>
          <w:lang w:eastAsia="lv-LV"/>
        </w:rPr>
      </w:pPr>
      <w:r>
        <w:rPr>
          <w:rFonts w:ascii="Times New Roman" w:eastAsia="Times New Roman" w:hAnsi="Times New Roman" w:cs="Times New Roman"/>
          <w:color w:val="000000"/>
          <w:sz w:val="20"/>
          <w:szCs w:val="20"/>
          <w:shd w:val="clear" w:color="auto" w:fill="FFFFFF"/>
          <w:lang w:eastAsia="lv-LV"/>
        </w:rPr>
        <w:t>Komisijas priekšsēdētāja vietniece</w:t>
      </w:r>
      <w:r w:rsidR="00196007">
        <w:rPr>
          <w:rFonts w:ascii="Times New Roman" w:eastAsia="Times New Roman" w:hAnsi="Times New Roman" w:cs="Times New Roman"/>
          <w:color w:val="000000"/>
          <w:sz w:val="20"/>
          <w:szCs w:val="20"/>
          <w:shd w:val="clear" w:color="auto" w:fill="FFFFFF"/>
          <w:lang w:eastAsia="lv-LV"/>
        </w:rPr>
        <w:t>,</w:t>
      </w:r>
    </w:p>
    <w:p w:rsidR="00100177" w:rsidRDefault="00100177" w:rsidP="00F82B82">
      <w:pPr>
        <w:suppressAutoHyphens/>
        <w:spacing w:after="0" w:line="240" w:lineRule="auto"/>
        <w:ind w:left="284" w:hanging="284"/>
        <w:jc w:val="both"/>
        <w:rPr>
          <w:rFonts w:ascii="Times New Roman" w:hAnsi="Times New Roman" w:cs="Times New Roman"/>
          <w:color w:val="000000"/>
          <w:sz w:val="20"/>
          <w:szCs w:val="20"/>
          <w:shd w:val="clear" w:color="auto" w:fill="FFFFFF"/>
        </w:rPr>
      </w:pPr>
      <w:r w:rsidRPr="00A83574">
        <w:rPr>
          <w:rFonts w:ascii="Times New Roman" w:hAnsi="Times New Roman" w:cs="Times New Roman"/>
          <w:color w:val="000000"/>
          <w:sz w:val="20"/>
          <w:szCs w:val="20"/>
          <w:shd w:val="clear" w:color="auto" w:fill="FFFFFF"/>
        </w:rPr>
        <w:t xml:space="preserve">Latvijas okupācijas izpētes </w:t>
      </w:r>
    </w:p>
    <w:p w:rsidR="00196007" w:rsidRPr="00196007" w:rsidRDefault="00100177" w:rsidP="00F82B82">
      <w:pPr>
        <w:suppressAutoHyphens/>
        <w:spacing w:after="0" w:line="240" w:lineRule="auto"/>
        <w:ind w:left="284" w:hanging="284"/>
        <w:jc w:val="both"/>
        <w:rPr>
          <w:rFonts w:ascii="Times New Roman" w:hAnsi="Times New Roman" w:cs="Times New Roman"/>
          <w:sz w:val="20"/>
          <w:szCs w:val="20"/>
        </w:rPr>
      </w:pPr>
      <w:r w:rsidRPr="00A83574">
        <w:rPr>
          <w:rFonts w:ascii="Times New Roman" w:hAnsi="Times New Roman" w:cs="Times New Roman"/>
          <w:color w:val="000000"/>
          <w:sz w:val="20"/>
          <w:szCs w:val="20"/>
          <w:shd w:val="clear" w:color="auto" w:fill="FFFFFF"/>
        </w:rPr>
        <w:t>biedrības</w:t>
      </w:r>
      <w:r w:rsidR="00196007" w:rsidRPr="00196007">
        <w:rPr>
          <w:rFonts w:ascii="Times New Roman" w:hAnsi="Times New Roman" w:cs="Times New Roman"/>
          <w:color w:val="000000"/>
          <w:sz w:val="20"/>
          <w:szCs w:val="20"/>
          <w:shd w:val="clear" w:color="auto" w:fill="FFFFFF"/>
        </w:rPr>
        <w:t xml:space="preserve"> valdes priekšsēdētāja</w:t>
      </w:r>
    </w:p>
    <w:p w:rsidR="00F82B82" w:rsidRPr="0097518E" w:rsidRDefault="00F82B82" w:rsidP="00F82B82">
      <w:pPr>
        <w:suppressAutoHyphens/>
        <w:spacing w:after="0" w:line="240" w:lineRule="auto"/>
        <w:ind w:left="284" w:hanging="284"/>
        <w:jc w:val="both"/>
        <w:rPr>
          <w:rFonts w:ascii="Times New Roman" w:hAnsi="Times New Roman" w:cs="Times New Roman"/>
          <w:sz w:val="20"/>
          <w:szCs w:val="20"/>
        </w:rPr>
      </w:pPr>
      <w:proofErr w:type="spellStart"/>
      <w:r w:rsidRPr="0097518E">
        <w:rPr>
          <w:rFonts w:ascii="Times New Roman" w:hAnsi="Times New Roman" w:cs="Times New Roman"/>
          <w:sz w:val="20"/>
          <w:szCs w:val="20"/>
        </w:rPr>
        <w:t>R.</w:t>
      </w:r>
      <w:r>
        <w:rPr>
          <w:rFonts w:ascii="Times New Roman" w:hAnsi="Times New Roman"/>
          <w:sz w:val="20"/>
          <w:szCs w:val="20"/>
        </w:rPr>
        <w:t>Pazdere</w:t>
      </w:r>
      <w:proofErr w:type="spellEnd"/>
    </w:p>
    <w:p w:rsidR="00F82B82" w:rsidRPr="0097518E" w:rsidRDefault="00F82B82" w:rsidP="00F82B82">
      <w:pPr>
        <w:suppressAutoHyphens/>
        <w:spacing w:after="0" w:line="240" w:lineRule="auto"/>
        <w:ind w:left="284" w:hanging="284"/>
        <w:jc w:val="both"/>
        <w:rPr>
          <w:rFonts w:ascii="Times New Roman" w:hAnsi="Times New Roman" w:cs="Times New Roman"/>
          <w:sz w:val="20"/>
          <w:szCs w:val="20"/>
        </w:rPr>
      </w:pPr>
      <w:r w:rsidRPr="0097518E">
        <w:rPr>
          <w:rFonts w:ascii="Times New Roman" w:hAnsi="Times New Roman" w:cs="Times New Roman"/>
          <w:sz w:val="20"/>
          <w:szCs w:val="20"/>
        </w:rPr>
        <w:t>29521934, loib@inbox.lv</w:t>
      </w:r>
    </w:p>
    <w:p w:rsidR="00401227" w:rsidRDefault="00401227" w:rsidP="00180B97"/>
    <w:p w:rsidR="00401227" w:rsidRPr="00401227" w:rsidRDefault="00401227" w:rsidP="00401227"/>
    <w:p w:rsidR="00401227" w:rsidRDefault="00401227" w:rsidP="00401227"/>
    <w:p w:rsidR="005D3CB2" w:rsidRPr="00401227" w:rsidRDefault="00401227" w:rsidP="00401227">
      <w:pPr>
        <w:tabs>
          <w:tab w:val="left" w:pos="2355"/>
        </w:tabs>
      </w:pPr>
      <w:r>
        <w:tab/>
      </w:r>
      <w:bookmarkStart w:id="0" w:name="_GoBack"/>
      <w:bookmarkEnd w:id="0"/>
    </w:p>
    <w:sectPr w:rsidR="005D3CB2" w:rsidRPr="00401227" w:rsidSect="00357BF9">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09" w:rsidRDefault="00292609" w:rsidP="00DD5ED3">
      <w:pPr>
        <w:spacing w:after="0" w:line="240" w:lineRule="auto"/>
      </w:pPr>
      <w:r>
        <w:separator/>
      </w:r>
    </w:p>
  </w:endnote>
  <w:endnote w:type="continuationSeparator" w:id="0">
    <w:p w:rsidR="00292609" w:rsidRDefault="00292609" w:rsidP="00DD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6" w:rsidRDefault="00DA7B5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D3" w:rsidRDefault="00DD5ED3" w:rsidP="00F82B82">
    <w:pPr>
      <w:pStyle w:val="Kjene"/>
      <w:jc w:val="both"/>
    </w:pPr>
    <w:r w:rsidRPr="00A474F5">
      <w:rPr>
        <w:rFonts w:ascii="Times New Roman" w:hAnsi="Times New Roman"/>
        <w:sz w:val="20"/>
        <w:szCs w:val="20"/>
      </w:rPr>
      <w:t>TMZino</w:t>
    </w:r>
    <w:r>
      <w:rPr>
        <w:rFonts w:ascii="Times New Roman" w:hAnsi="Times New Roman"/>
        <w:sz w:val="20"/>
        <w:szCs w:val="20"/>
      </w:rPr>
      <w:t>p</w:t>
    </w:r>
    <w:r w:rsidR="00DA7B56">
      <w:rPr>
        <w:rFonts w:ascii="Times New Roman" w:hAnsi="Times New Roman"/>
        <w:sz w:val="20"/>
        <w:szCs w:val="20"/>
      </w:rPr>
      <w:t>_090117</w:t>
    </w:r>
    <w:r w:rsidRPr="00A474F5">
      <w:rPr>
        <w:rFonts w:ascii="Times New Roman" w:hAnsi="Times New Roman"/>
        <w:sz w:val="20"/>
        <w:szCs w:val="20"/>
      </w:rPr>
      <w:t>_</w:t>
    </w:r>
    <w:r w:rsidR="00D745E9">
      <w:rPr>
        <w:rFonts w:ascii="Times New Roman" w:hAnsi="Times New Roman"/>
        <w:sz w:val="20"/>
        <w:szCs w:val="20"/>
      </w:rPr>
      <w:t>Komisija</w:t>
    </w:r>
    <w:r w:rsidRPr="00A474F5">
      <w:rPr>
        <w:rFonts w:ascii="Times New Roman" w:hAnsi="Times New Roman"/>
        <w:sz w:val="20"/>
        <w:szCs w:val="20"/>
      </w:rPr>
      <w:t>;</w:t>
    </w:r>
    <w:r w:rsidRPr="00DD5ED3">
      <w:rPr>
        <w:rFonts w:ascii="Times New Roman" w:hAnsi="Times New Roman" w:cs="Times New Roman"/>
        <w:sz w:val="20"/>
        <w:szCs w:val="20"/>
      </w:rPr>
      <w:t xml:space="preserve"> </w:t>
    </w:r>
    <w:r w:rsidRPr="00DD5ED3">
      <w:rPr>
        <w:rFonts w:ascii="Times New Roman" w:hAnsi="Times New Roman" w:cs="Times New Roman"/>
        <w:bCs/>
        <w:color w:val="000000"/>
        <w:sz w:val="20"/>
        <w:szCs w:val="20"/>
      </w:rPr>
      <w:t xml:space="preserve">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w:t>
    </w:r>
    <w:r w:rsidR="00DA7B56">
      <w:rPr>
        <w:rFonts w:ascii="Times New Roman" w:hAnsi="Times New Roman" w:cs="Times New Roman"/>
        <w:bCs/>
        <w:sz w:val="20"/>
      </w:rPr>
      <w:t>2016</w:t>
    </w:r>
    <w:r w:rsidR="00D745E9">
      <w:rPr>
        <w:rFonts w:ascii="Times New Roman" w:hAnsi="Times New Roman" w:cs="Times New Roman"/>
        <w:bCs/>
        <w:sz w:val="20"/>
      </w:rPr>
      <w:t>.</w:t>
    </w:r>
    <w:r w:rsidR="00EE3241">
      <w:rPr>
        <w:rFonts w:ascii="Times New Roman" w:hAnsi="Times New Roman" w:cs="Times New Roman"/>
        <w:bCs/>
        <w:sz w:val="20"/>
      </w:rPr>
      <w:t> </w:t>
    </w:r>
    <w:r w:rsidR="00F82B82" w:rsidRPr="00F82B82">
      <w:rPr>
        <w:rFonts w:ascii="Times New Roman" w:hAnsi="Times New Roman" w:cs="Times New Roman"/>
        <w:bCs/>
        <w:sz w:val="20"/>
      </w:rPr>
      <w:t>gadā</w:t>
    </w:r>
    <w:r w:rsidR="00F82B82" w:rsidRPr="00F82B82">
      <w:rPr>
        <w:rFonts w:ascii="Times New Roman" w:hAnsi="Times New Roman" w:cs="Times New Roman"/>
        <w:bCs/>
        <w:color w:val="000000"/>
        <w:sz w:val="18"/>
        <w:szCs w:val="20"/>
      </w:rPr>
      <w:t xml:space="preserve"> </w:t>
    </w:r>
    <w:r w:rsidRPr="00DD5ED3">
      <w:rPr>
        <w:rFonts w:ascii="Times New Roman" w:hAnsi="Times New Roman" w:cs="Times New Roman"/>
        <w:bCs/>
        <w:color w:val="000000"/>
        <w:sz w:val="20"/>
        <w:szCs w:val="20"/>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D3" w:rsidRDefault="00DD5ED3" w:rsidP="00A83574">
    <w:pPr>
      <w:pStyle w:val="Kjene"/>
      <w:jc w:val="both"/>
    </w:pPr>
    <w:r w:rsidRPr="00A474F5">
      <w:rPr>
        <w:rFonts w:ascii="Times New Roman" w:hAnsi="Times New Roman"/>
        <w:sz w:val="20"/>
        <w:szCs w:val="20"/>
      </w:rPr>
      <w:t>TMZino</w:t>
    </w:r>
    <w:r w:rsidR="00DA7B56">
      <w:rPr>
        <w:rFonts w:ascii="Times New Roman" w:hAnsi="Times New Roman"/>
        <w:sz w:val="20"/>
        <w:szCs w:val="20"/>
      </w:rPr>
      <w:t>p_090117</w:t>
    </w:r>
    <w:r w:rsidRPr="00A474F5">
      <w:rPr>
        <w:rFonts w:ascii="Times New Roman" w:hAnsi="Times New Roman"/>
        <w:sz w:val="20"/>
        <w:szCs w:val="20"/>
      </w:rPr>
      <w:t>_</w:t>
    </w:r>
    <w:r w:rsidR="00D745E9">
      <w:rPr>
        <w:rFonts w:ascii="Times New Roman" w:hAnsi="Times New Roman"/>
        <w:sz w:val="20"/>
        <w:szCs w:val="20"/>
      </w:rPr>
      <w:t>Komisija</w:t>
    </w:r>
    <w:r w:rsidRPr="00A474F5">
      <w:rPr>
        <w:rFonts w:ascii="Times New Roman" w:hAnsi="Times New Roman"/>
        <w:sz w:val="20"/>
        <w:szCs w:val="20"/>
      </w:rPr>
      <w:t>;</w:t>
    </w:r>
    <w:r w:rsidRPr="00DD5ED3">
      <w:rPr>
        <w:rFonts w:ascii="Times New Roman" w:hAnsi="Times New Roman" w:cs="Times New Roman"/>
        <w:sz w:val="20"/>
        <w:szCs w:val="20"/>
      </w:rPr>
      <w:t xml:space="preserve"> </w:t>
    </w:r>
    <w:r w:rsidRPr="00DD5ED3">
      <w:rPr>
        <w:rFonts w:ascii="Times New Roman" w:hAnsi="Times New Roman" w:cs="Times New Roman"/>
        <w:bCs/>
        <w:color w:val="000000"/>
        <w:sz w:val="20"/>
        <w:szCs w:val="20"/>
      </w:rPr>
      <w:t>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w:t>
    </w:r>
    <w:r w:rsidR="00F82B82">
      <w:rPr>
        <w:rFonts w:ascii="Times New Roman" w:hAnsi="Times New Roman" w:cs="Times New Roman"/>
        <w:bCs/>
        <w:color w:val="000000"/>
        <w:sz w:val="20"/>
        <w:szCs w:val="20"/>
      </w:rPr>
      <w:t xml:space="preserve">rbību </w:t>
    </w:r>
    <w:r w:rsidR="00DA7B56">
      <w:rPr>
        <w:rFonts w:ascii="Times New Roman" w:hAnsi="Times New Roman" w:cs="Times New Roman"/>
        <w:bCs/>
        <w:sz w:val="20"/>
      </w:rPr>
      <w:t>2016</w:t>
    </w:r>
    <w:r w:rsidR="00D745E9">
      <w:rPr>
        <w:rFonts w:ascii="Times New Roman" w:hAnsi="Times New Roman" w:cs="Times New Roman"/>
        <w:bCs/>
        <w:sz w:val="20"/>
      </w:rPr>
      <w:t>.</w:t>
    </w:r>
    <w:r w:rsidR="00EE3241">
      <w:rPr>
        <w:rFonts w:ascii="Times New Roman" w:hAnsi="Times New Roman" w:cs="Times New Roman"/>
        <w:bCs/>
        <w:sz w:val="20"/>
      </w:rPr>
      <w:t> </w:t>
    </w:r>
    <w:r w:rsidR="00F82B82" w:rsidRPr="00F82B82">
      <w:rPr>
        <w:rFonts w:ascii="Times New Roman" w:hAnsi="Times New Roman" w:cs="Times New Roman"/>
        <w:bCs/>
        <w:sz w:val="20"/>
      </w:rPr>
      <w:t>gadā</w:t>
    </w:r>
    <w:r w:rsidR="00F82B82" w:rsidRPr="00F82B82">
      <w:rPr>
        <w:rFonts w:ascii="Times New Roman" w:hAnsi="Times New Roman" w:cs="Times New Roman"/>
        <w:bCs/>
        <w:color w:val="000000"/>
        <w:sz w:val="18"/>
        <w:szCs w:val="20"/>
      </w:rPr>
      <w:t xml:space="preserve"> </w:t>
    </w:r>
    <w:r w:rsidRPr="00DD5ED3">
      <w:rPr>
        <w:rFonts w:ascii="Times New Roman" w:hAnsi="Times New Roman" w:cs="Times New Roman"/>
        <w:bCs/>
        <w:color w:val="000000"/>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09" w:rsidRDefault="00292609" w:rsidP="00DD5ED3">
      <w:pPr>
        <w:spacing w:after="0" w:line="240" w:lineRule="auto"/>
      </w:pPr>
      <w:r>
        <w:separator/>
      </w:r>
    </w:p>
  </w:footnote>
  <w:footnote w:type="continuationSeparator" w:id="0">
    <w:p w:rsidR="00292609" w:rsidRDefault="00292609" w:rsidP="00DD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6" w:rsidRDefault="00DA7B5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86575"/>
      <w:docPartObj>
        <w:docPartGallery w:val="Page Numbers (Top of Page)"/>
        <w:docPartUnique/>
      </w:docPartObj>
    </w:sdtPr>
    <w:sdtEndPr>
      <w:rPr>
        <w:rFonts w:ascii="Times New Roman" w:hAnsi="Times New Roman" w:cs="Times New Roman"/>
        <w:sz w:val="24"/>
        <w:szCs w:val="24"/>
      </w:rPr>
    </w:sdtEndPr>
    <w:sdtContent>
      <w:p w:rsidR="00DD5ED3" w:rsidRPr="00DD5ED3" w:rsidRDefault="00DD5ED3">
        <w:pPr>
          <w:pStyle w:val="Galvene"/>
          <w:jc w:val="center"/>
          <w:rPr>
            <w:rFonts w:ascii="Times New Roman" w:hAnsi="Times New Roman" w:cs="Times New Roman"/>
            <w:sz w:val="24"/>
            <w:szCs w:val="24"/>
          </w:rPr>
        </w:pPr>
        <w:r w:rsidRPr="00DD5ED3">
          <w:rPr>
            <w:rFonts w:ascii="Times New Roman" w:hAnsi="Times New Roman" w:cs="Times New Roman"/>
            <w:sz w:val="24"/>
            <w:szCs w:val="24"/>
          </w:rPr>
          <w:fldChar w:fldCharType="begin"/>
        </w:r>
        <w:r w:rsidRPr="00DD5ED3">
          <w:rPr>
            <w:rFonts w:ascii="Times New Roman" w:hAnsi="Times New Roman" w:cs="Times New Roman"/>
            <w:sz w:val="24"/>
            <w:szCs w:val="24"/>
          </w:rPr>
          <w:instrText>PAGE   \* MERGEFORMAT</w:instrText>
        </w:r>
        <w:r w:rsidRPr="00DD5ED3">
          <w:rPr>
            <w:rFonts w:ascii="Times New Roman" w:hAnsi="Times New Roman" w:cs="Times New Roman"/>
            <w:sz w:val="24"/>
            <w:szCs w:val="24"/>
          </w:rPr>
          <w:fldChar w:fldCharType="separate"/>
        </w:r>
        <w:r w:rsidR="00401227">
          <w:rPr>
            <w:rFonts w:ascii="Times New Roman" w:hAnsi="Times New Roman" w:cs="Times New Roman"/>
            <w:noProof/>
            <w:sz w:val="24"/>
            <w:szCs w:val="24"/>
          </w:rPr>
          <w:t>3</w:t>
        </w:r>
        <w:r w:rsidRPr="00DD5ED3">
          <w:rPr>
            <w:rFonts w:ascii="Times New Roman" w:hAnsi="Times New Roman" w:cs="Times New Roman"/>
            <w:sz w:val="24"/>
            <w:szCs w:val="24"/>
          </w:rPr>
          <w:fldChar w:fldCharType="end"/>
        </w:r>
      </w:p>
    </w:sdtContent>
  </w:sdt>
  <w:p w:rsidR="00DD5ED3" w:rsidRDefault="00DD5ED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6" w:rsidRDefault="00DA7B5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5102"/>
    <w:multiLevelType w:val="hybridMultilevel"/>
    <w:tmpl w:val="849CC590"/>
    <w:lvl w:ilvl="0" w:tplc="8856AEC0">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A7"/>
    <w:rsid w:val="00026355"/>
    <w:rsid w:val="0006414A"/>
    <w:rsid w:val="00064A9B"/>
    <w:rsid w:val="00072D0B"/>
    <w:rsid w:val="000C730D"/>
    <w:rsid w:val="00100177"/>
    <w:rsid w:val="0013211D"/>
    <w:rsid w:val="0014183B"/>
    <w:rsid w:val="00180B97"/>
    <w:rsid w:val="00196007"/>
    <w:rsid w:val="001A0907"/>
    <w:rsid w:val="001B6AF4"/>
    <w:rsid w:val="001C4CEC"/>
    <w:rsid w:val="001D29C8"/>
    <w:rsid w:val="001E25A7"/>
    <w:rsid w:val="001E46B9"/>
    <w:rsid w:val="002613FC"/>
    <w:rsid w:val="00292609"/>
    <w:rsid w:val="002C32CD"/>
    <w:rsid w:val="002F5DAD"/>
    <w:rsid w:val="0031772F"/>
    <w:rsid w:val="003459B1"/>
    <w:rsid w:val="00357BF9"/>
    <w:rsid w:val="0037241E"/>
    <w:rsid w:val="00381204"/>
    <w:rsid w:val="003C21D3"/>
    <w:rsid w:val="00401227"/>
    <w:rsid w:val="004201FD"/>
    <w:rsid w:val="00436B21"/>
    <w:rsid w:val="00447054"/>
    <w:rsid w:val="0046435C"/>
    <w:rsid w:val="004B7136"/>
    <w:rsid w:val="004F321D"/>
    <w:rsid w:val="005D3CB2"/>
    <w:rsid w:val="00612EFB"/>
    <w:rsid w:val="00631649"/>
    <w:rsid w:val="006320C7"/>
    <w:rsid w:val="006618E4"/>
    <w:rsid w:val="007820A1"/>
    <w:rsid w:val="00793218"/>
    <w:rsid w:val="00884389"/>
    <w:rsid w:val="008A78ED"/>
    <w:rsid w:val="008D5FAB"/>
    <w:rsid w:val="008F6B9B"/>
    <w:rsid w:val="0093740C"/>
    <w:rsid w:val="009919B8"/>
    <w:rsid w:val="009962DD"/>
    <w:rsid w:val="00A65AEF"/>
    <w:rsid w:val="00A83574"/>
    <w:rsid w:val="00A93562"/>
    <w:rsid w:val="00AB0BE9"/>
    <w:rsid w:val="00AB3085"/>
    <w:rsid w:val="00AC1EFF"/>
    <w:rsid w:val="00B13754"/>
    <w:rsid w:val="00B77BCC"/>
    <w:rsid w:val="00BC723E"/>
    <w:rsid w:val="00C42665"/>
    <w:rsid w:val="00CA3A3D"/>
    <w:rsid w:val="00CC0451"/>
    <w:rsid w:val="00CC426A"/>
    <w:rsid w:val="00CF3007"/>
    <w:rsid w:val="00D10855"/>
    <w:rsid w:val="00D45108"/>
    <w:rsid w:val="00D60C48"/>
    <w:rsid w:val="00D745E9"/>
    <w:rsid w:val="00DA7B56"/>
    <w:rsid w:val="00DB3EB8"/>
    <w:rsid w:val="00DD5ED3"/>
    <w:rsid w:val="00DE3497"/>
    <w:rsid w:val="00E035DE"/>
    <w:rsid w:val="00E316A4"/>
    <w:rsid w:val="00E420FD"/>
    <w:rsid w:val="00E56D5B"/>
    <w:rsid w:val="00E70BB4"/>
    <w:rsid w:val="00E760FB"/>
    <w:rsid w:val="00EC2E7A"/>
    <w:rsid w:val="00EE3241"/>
    <w:rsid w:val="00F20055"/>
    <w:rsid w:val="00F52366"/>
    <w:rsid w:val="00F82B82"/>
    <w:rsid w:val="00FA3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5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59B1"/>
    <w:rPr>
      <w:color w:val="0000FF" w:themeColor="hyperlink"/>
      <w:u w:val="single"/>
    </w:rPr>
  </w:style>
  <w:style w:type="paragraph" w:styleId="Sarakstarindkopa">
    <w:name w:val="List Paragraph"/>
    <w:basedOn w:val="Parasts"/>
    <w:uiPriority w:val="34"/>
    <w:qFormat/>
    <w:rsid w:val="00F20055"/>
    <w:pPr>
      <w:ind w:left="720"/>
      <w:contextualSpacing/>
    </w:pPr>
  </w:style>
  <w:style w:type="table" w:styleId="Reatabula">
    <w:name w:val="Table Grid"/>
    <w:basedOn w:val="Parastatabula"/>
    <w:uiPriority w:val="59"/>
    <w:rsid w:val="00DD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D5E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ED3"/>
    <w:rPr>
      <w:rFonts w:ascii="Calibri" w:eastAsia="Calibri" w:hAnsi="Calibri" w:cs="Calibri"/>
    </w:rPr>
  </w:style>
  <w:style w:type="paragraph" w:styleId="Kjene">
    <w:name w:val="footer"/>
    <w:basedOn w:val="Parasts"/>
    <w:link w:val="KjeneRakstz"/>
    <w:uiPriority w:val="99"/>
    <w:unhideWhenUsed/>
    <w:rsid w:val="00DD5E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ED3"/>
    <w:rPr>
      <w:rFonts w:ascii="Calibri" w:eastAsia="Calibri" w:hAnsi="Calibri" w:cs="Calibri"/>
    </w:rPr>
  </w:style>
  <w:style w:type="paragraph" w:styleId="Balonteksts">
    <w:name w:val="Balloon Text"/>
    <w:basedOn w:val="Parasts"/>
    <w:link w:val="BalontekstsRakstz"/>
    <w:uiPriority w:val="99"/>
    <w:semiHidden/>
    <w:unhideWhenUsed/>
    <w:rsid w:val="004643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435C"/>
    <w:rPr>
      <w:rFonts w:ascii="Tahoma" w:eastAsia="Calibri" w:hAnsi="Tahoma" w:cs="Tahoma"/>
      <w:sz w:val="16"/>
      <w:szCs w:val="16"/>
    </w:rPr>
  </w:style>
  <w:style w:type="character" w:styleId="Komentraatsauce">
    <w:name w:val="annotation reference"/>
    <w:basedOn w:val="Noklusjumarindkopasfonts"/>
    <w:uiPriority w:val="99"/>
    <w:semiHidden/>
    <w:unhideWhenUsed/>
    <w:rsid w:val="0046435C"/>
    <w:rPr>
      <w:sz w:val="16"/>
      <w:szCs w:val="16"/>
    </w:rPr>
  </w:style>
  <w:style w:type="paragraph" w:styleId="Komentrateksts">
    <w:name w:val="annotation text"/>
    <w:basedOn w:val="Parasts"/>
    <w:link w:val="KomentratekstsRakstz"/>
    <w:uiPriority w:val="99"/>
    <w:semiHidden/>
    <w:unhideWhenUsed/>
    <w:rsid w:val="004643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6435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46435C"/>
    <w:rPr>
      <w:b/>
      <w:bCs/>
    </w:rPr>
  </w:style>
  <w:style w:type="character" w:customStyle="1" w:styleId="KomentratmaRakstz">
    <w:name w:val="Komentāra tēma Rakstz."/>
    <w:basedOn w:val="KomentratekstsRakstz"/>
    <w:link w:val="Komentratma"/>
    <w:uiPriority w:val="99"/>
    <w:semiHidden/>
    <w:rsid w:val="0046435C"/>
    <w:rPr>
      <w:rFonts w:ascii="Calibri" w:eastAsia="Calibri" w:hAnsi="Calibri" w:cs="Calibri"/>
      <w:b/>
      <w:bCs/>
      <w:sz w:val="20"/>
      <w:szCs w:val="20"/>
    </w:rPr>
  </w:style>
  <w:style w:type="paragraph" w:styleId="Paraststmeklis">
    <w:name w:val="Normal (Web)"/>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DA7B56"/>
  </w:style>
  <w:style w:type="paragraph" w:customStyle="1" w:styleId="c4">
    <w:name w:val="c4"/>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6">
    <w:name w:val="c6"/>
    <w:basedOn w:val="Noklusjumarindkopasfonts"/>
    <w:rsid w:val="00DA7B56"/>
  </w:style>
  <w:style w:type="character" w:styleId="Izteiksmgs">
    <w:name w:val="Strong"/>
    <w:qFormat/>
    <w:rsid w:val="00DA7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5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459B1"/>
    <w:rPr>
      <w:color w:val="0000FF" w:themeColor="hyperlink"/>
      <w:u w:val="single"/>
    </w:rPr>
  </w:style>
  <w:style w:type="paragraph" w:styleId="Sarakstarindkopa">
    <w:name w:val="List Paragraph"/>
    <w:basedOn w:val="Parasts"/>
    <w:uiPriority w:val="34"/>
    <w:qFormat/>
    <w:rsid w:val="00F20055"/>
    <w:pPr>
      <w:ind w:left="720"/>
      <w:contextualSpacing/>
    </w:pPr>
  </w:style>
  <w:style w:type="table" w:styleId="Reatabula">
    <w:name w:val="Table Grid"/>
    <w:basedOn w:val="Parastatabula"/>
    <w:uiPriority w:val="59"/>
    <w:rsid w:val="00DD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D5E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ED3"/>
    <w:rPr>
      <w:rFonts w:ascii="Calibri" w:eastAsia="Calibri" w:hAnsi="Calibri" w:cs="Calibri"/>
    </w:rPr>
  </w:style>
  <w:style w:type="paragraph" w:styleId="Kjene">
    <w:name w:val="footer"/>
    <w:basedOn w:val="Parasts"/>
    <w:link w:val="KjeneRakstz"/>
    <w:uiPriority w:val="99"/>
    <w:unhideWhenUsed/>
    <w:rsid w:val="00DD5E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ED3"/>
    <w:rPr>
      <w:rFonts w:ascii="Calibri" w:eastAsia="Calibri" w:hAnsi="Calibri" w:cs="Calibri"/>
    </w:rPr>
  </w:style>
  <w:style w:type="paragraph" w:styleId="Balonteksts">
    <w:name w:val="Balloon Text"/>
    <w:basedOn w:val="Parasts"/>
    <w:link w:val="BalontekstsRakstz"/>
    <w:uiPriority w:val="99"/>
    <w:semiHidden/>
    <w:unhideWhenUsed/>
    <w:rsid w:val="004643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435C"/>
    <w:rPr>
      <w:rFonts w:ascii="Tahoma" w:eastAsia="Calibri" w:hAnsi="Tahoma" w:cs="Tahoma"/>
      <w:sz w:val="16"/>
      <w:szCs w:val="16"/>
    </w:rPr>
  </w:style>
  <w:style w:type="character" w:styleId="Komentraatsauce">
    <w:name w:val="annotation reference"/>
    <w:basedOn w:val="Noklusjumarindkopasfonts"/>
    <w:uiPriority w:val="99"/>
    <w:semiHidden/>
    <w:unhideWhenUsed/>
    <w:rsid w:val="0046435C"/>
    <w:rPr>
      <w:sz w:val="16"/>
      <w:szCs w:val="16"/>
    </w:rPr>
  </w:style>
  <w:style w:type="paragraph" w:styleId="Komentrateksts">
    <w:name w:val="annotation text"/>
    <w:basedOn w:val="Parasts"/>
    <w:link w:val="KomentratekstsRakstz"/>
    <w:uiPriority w:val="99"/>
    <w:semiHidden/>
    <w:unhideWhenUsed/>
    <w:rsid w:val="004643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6435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46435C"/>
    <w:rPr>
      <w:b/>
      <w:bCs/>
    </w:rPr>
  </w:style>
  <w:style w:type="character" w:customStyle="1" w:styleId="KomentratmaRakstz">
    <w:name w:val="Komentāra tēma Rakstz."/>
    <w:basedOn w:val="KomentratekstsRakstz"/>
    <w:link w:val="Komentratma"/>
    <w:uiPriority w:val="99"/>
    <w:semiHidden/>
    <w:rsid w:val="0046435C"/>
    <w:rPr>
      <w:rFonts w:ascii="Calibri" w:eastAsia="Calibri" w:hAnsi="Calibri" w:cs="Calibri"/>
      <w:b/>
      <w:bCs/>
      <w:sz w:val="20"/>
      <w:szCs w:val="20"/>
    </w:rPr>
  </w:style>
  <w:style w:type="paragraph" w:styleId="Paraststmeklis">
    <w:name w:val="Normal (Web)"/>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DA7B56"/>
  </w:style>
  <w:style w:type="paragraph" w:customStyle="1" w:styleId="c4">
    <w:name w:val="c4"/>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Parasts"/>
    <w:rsid w:val="00DA7B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6">
    <w:name w:val="c6"/>
    <w:basedOn w:val="Noklusjumarindkopasfonts"/>
    <w:rsid w:val="00DA7B56"/>
  </w:style>
  <w:style w:type="character" w:styleId="Izteiksmgs">
    <w:name w:val="Strong"/>
    <w:qFormat/>
    <w:rsid w:val="00DA7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255">
      <w:bodyDiv w:val="1"/>
      <w:marLeft w:val="0"/>
      <w:marRight w:val="0"/>
      <w:marTop w:val="0"/>
      <w:marBottom w:val="0"/>
      <w:divBdr>
        <w:top w:val="none" w:sz="0" w:space="0" w:color="auto"/>
        <w:left w:val="none" w:sz="0" w:space="0" w:color="auto"/>
        <w:bottom w:val="none" w:sz="0" w:space="0" w:color="auto"/>
        <w:right w:val="none" w:sz="0" w:space="0" w:color="auto"/>
      </w:divBdr>
    </w:div>
    <w:div w:id="197394942">
      <w:bodyDiv w:val="1"/>
      <w:marLeft w:val="0"/>
      <w:marRight w:val="0"/>
      <w:marTop w:val="0"/>
      <w:marBottom w:val="0"/>
      <w:divBdr>
        <w:top w:val="none" w:sz="0" w:space="0" w:color="auto"/>
        <w:left w:val="none" w:sz="0" w:space="0" w:color="auto"/>
        <w:bottom w:val="none" w:sz="0" w:space="0" w:color="auto"/>
        <w:right w:val="none" w:sz="0" w:space="0" w:color="auto"/>
      </w:divBdr>
    </w:div>
    <w:div w:id="242422030">
      <w:bodyDiv w:val="1"/>
      <w:marLeft w:val="0"/>
      <w:marRight w:val="0"/>
      <w:marTop w:val="0"/>
      <w:marBottom w:val="0"/>
      <w:divBdr>
        <w:top w:val="none" w:sz="0" w:space="0" w:color="auto"/>
        <w:left w:val="none" w:sz="0" w:space="0" w:color="auto"/>
        <w:bottom w:val="none" w:sz="0" w:space="0" w:color="auto"/>
        <w:right w:val="none" w:sz="0" w:space="0" w:color="auto"/>
      </w:divBdr>
    </w:div>
    <w:div w:id="339700558">
      <w:bodyDiv w:val="1"/>
      <w:marLeft w:val="0"/>
      <w:marRight w:val="0"/>
      <w:marTop w:val="0"/>
      <w:marBottom w:val="0"/>
      <w:divBdr>
        <w:top w:val="none" w:sz="0" w:space="0" w:color="auto"/>
        <w:left w:val="none" w:sz="0" w:space="0" w:color="auto"/>
        <w:bottom w:val="none" w:sz="0" w:space="0" w:color="auto"/>
        <w:right w:val="none" w:sz="0" w:space="0" w:color="auto"/>
      </w:divBdr>
    </w:div>
    <w:div w:id="396585876">
      <w:bodyDiv w:val="1"/>
      <w:marLeft w:val="0"/>
      <w:marRight w:val="0"/>
      <w:marTop w:val="0"/>
      <w:marBottom w:val="0"/>
      <w:divBdr>
        <w:top w:val="none" w:sz="0" w:space="0" w:color="auto"/>
        <w:left w:val="none" w:sz="0" w:space="0" w:color="auto"/>
        <w:bottom w:val="none" w:sz="0" w:space="0" w:color="auto"/>
        <w:right w:val="none" w:sz="0" w:space="0" w:color="auto"/>
      </w:divBdr>
    </w:div>
    <w:div w:id="703480344">
      <w:bodyDiv w:val="1"/>
      <w:marLeft w:val="0"/>
      <w:marRight w:val="0"/>
      <w:marTop w:val="0"/>
      <w:marBottom w:val="0"/>
      <w:divBdr>
        <w:top w:val="none" w:sz="0" w:space="0" w:color="auto"/>
        <w:left w:val="none" w:sz="0" w:space="0" w:color="auto"/>
        <w:bottom w:val="none" w:sz="0" w:space="0" w:color="auto"/>
        <w:right w:val="none" w:sz="0" w:space="0" w:color="auto"/>
      </w:divBdr>
    </w:div>
    <w:div w:id="784925657">
      <w:bodyDiv w:val="1"/>
      <w:marLeft w:val="0"/>
      <w:marRight w:val="0"/>
      <w:marTop w:val="0"/>
      <w:marBottom w:val="0"/>
      <w:divBdr>
        <w:top w:val="none" w:sz="0" w:space="0" w:color="auto"/>
        <w:left w:val="none" w:sz="0" w:space="0" w:color="auto"/>
        <w:bottom w:val="none" w:sz="0" w:space="0" w:color="auto"/>
        <w:right w:val="none" w:sz="0" w:space="0" w:color="auto"/>
      </w:divBdr>
    </w:div>
    <w:div w:id="956327488">
      <w:bodyDiv w:val="1"/>
      <w:marLeft w:val="0"/>
      <w:marRight w:val="0"/>
      <w:marTop w:val="0"/>
      <w:marBottom w:val="0"/>
      <w:divBdr>
        <w:top w:val="none" w:sz="0" w:space="0" w:color="auto"/>
        <w:left w:val="none" w:sz="0" w:space="0" w:color="auto"/>
        <w:bottom w:val="none" w:sz="0" w:space="0" w:color="auto"/>
        <w:right w:val="none" w:sz="0" w:space="0" w:color="auto"/>
      </w:divBdr>
    </w:div>
    <w:div w:id="988248411">
      <w:bodyDiv w:val="1"/>
      <w:marLeft w:val="0"/>
      <w:marRight w:val="0"/>
      <w:marTop w:val="0"/>
      <w:marBottom w:val="0"/>
      <w:divBdr>
        <w:top w:val="none" w:sz="0" w:space="0" w:color="auto"/>
        <w:left w:val="none" w:sz="0" w:space="0" w:color="auto"/>
        <w:bottom w:val="none" w:sz="0" w:space="0" w:color="auto"/>
        <w:right w:val="none" w:sz="0" w:space="0" w:color="auto"/>
      </w:divBdr>
    </w:div>
    <w:div w:id="1203595930">
      <w:bodyDiv w:val="1"/>
      <w:marLeft w:val="0"/>
      <w:marRight w:val="0"/>
      <w:marTop w:val="0"/>
      <w:marBottom w:val="0"/>
      <w:divBdr>
        <w:top w:val="none" w:sz="0" w:space="0" w:color="auto"/>
        <w:left w:val="none" w:sz="0" w:space="0" w:color="auto"/>
        <w:bottom w:val="none" w:sz="0" w:space="0" w:color="auto"/>
        <w:right w:val="none" w:sz="0" w:space="0" w:color="auto"/>
      </w:divBdr>
    </w:div>
    <w:div w:id="1328823610">
      <w:bodyDiv w:val="1"/>
      <w:marLeft w:val="0"/>
      <w:marRight w:val="0"/>
      <w:marTop w:val="0"/>
      <w:marBottom w:val="0"/>
      <w:divBdr>
        <w:top w:val="none" w:sz="0" w:space="0" w:color="auto"/>
        <w:left w:val="none" w:sz="0" w:space="0" w:color="auto"/>
        <w:bottom w:val="none" w:sz="0" w:space="0" w:color="auto"/>
        <w:right w:val="none" w:sz="0" w:space="0" w:color="auto"/>
      </w:divBdr>
    </w:div>
    <w:div w:id="1332875518">
      <w:bodyDiv w:val="1"/>
      <w:marLeft w:val="0"/>
      <w:marRight w:val="0"/>
      <w:marTop w:val="0"/>
      <w:marBottom w:val="0"/>
      <w:divBdr>
        <w:top w:val="none" w:sz="0" w:space="0" w:color="auto"/>
        <w:left w:val="none" w:sz="0" w:space="0" w:color="auto"/>
        <w:bottom w:val="none" w:sz="0" w:space="0" w:color="auto"/>
        <w:right w:val="none" w:sz="0" w:space="0" w:color="auto"/>
      </w:divBdr>
    </w:div>
    <w:div w:id="1492604151">
      <w:bodyDiv w:val="1"/>
      <w:marLeft w:val="0"/>
      <w:marRight w:val="0"/>
      <w:marTop w:val="0"/>
      <w:marBottom w:val="0"/>
      <w:divBdr>
        <w:top w:val="none" w:sz="0" w:space="0" w:color="auto"/>
        <w:left w:val="none" w:sz="0" w:space="0" w:color="auto"/>
        <w:bottom w:val="none" w:sz="0" w:space="0" w:color="auto"/>
        <w:right w:val="none" w:sz="0" w:space="0" w:color="auto"/>
      </w:divBdr>
    </w:div>
    <w:div w:id="1526864023">
      <w:bodyDiv w:val="1"/>
      <w:marLeft w:val="0"/>
      <w:marRight w:val="0"/>
      <w:marTop w:val="0"/>
      <w:marBottom w:val="0"/>
      <w:divBdr>
        <w:top w:val="none" w:sz="0" w:space="0" w:color="auto"/>
        <w:left w:val="none" w:sz="0" w:space="0" w:color="auto"/>
        <w:bottom w:val="none" w:sz="0" w:space="0" w:color="auto"/>
        <w:right w:val="none" w:sz="0" w:space="0" w:color="auto"/>
      </w:divBdr>
    </w:div>
    <w:div w:id="1614314693">
      <w:bodyDiv w:val="1"/>
      <w:marLeft w:val="0"/>
      <w:marRight w:val="0"/>
      <w:marTop w:val="0"/>
      <w:marBottom w:val="0"/>
      <w:divBdr>
        <w:top w:val="none" w:sz="0" w:space="0" w:color="auto"/>
        <w:left w:val="none" w:sz="0" w:space="0" w:color="auto"/>
        <w:bottom w:val="none" w:sz="0" w:space="0" w:color="auto"/>
        <w:right w:val="none" w:sz="0" w:space="0" w:color="auto"/>
      </w:divBdr>
    </w:div>
    <w:div w:id="1629701768">
      <w:bodyDiv w:val="1"/>
      <w:marLeft w:val="0"/>
      <w:marRight w:val="0"/>
      <w:marTop w:val="0"/>
      <w:marBottom w:val="0"/>
      <w:divBdr>
        <w:top w:val="none" w:sz="0" w:space="0" w:color="auto"/>
        <w:left w:val="none" w:sz="0" w:space="0" w:color="auto"/>
        <w:bottom w:val="none" w:sz="0" w:space="0" w:color="auto"/>
        <w:right w:val="none" w:sz="0" w:space="0" w:color="auto"/>
      </w:divBdr>
    </w:div>
    <w:div w:id="1816294945">
      <w:bodyDiv w:val="1"/>
      <w:marLeft w:val="0"/>
      <w:marRight w:val="0"/>
      <w:marTop w:val="0"/>
      <w:marBottom w:val="0"/>
      <w:divBdr>
        <w:top w:val="none" w:sz="0" w:space="0" w:color="auto"/>
        <w:left w:val="none" w:sz="0" w:space="0" w:color="auto"/>
        <w:bottom w:val="none" w:sz="0" w:space="0" w:color="auto"/>
        <w:right w:val="none" w:sz="0" w:space="0" w:color="auto"/>
      </w:divBdr>
    </w:div>
    <w:div w:id="1856993731">
      <w:bodyDiv w:val="1"/>
      <w:marLeft w:val="0"/>
      <w:marRight w:val="0"/>
      <w:marTop w:val="0"/>
      <w:marBottom w:val="0"/>
      <w:divBdr>
        <w:top w:val="none" w:sz="0" w:space="0" w:color="auto"/>
        <w:left w:val="none" w:sz="0" w:space="0" w:color="auto"/>
        <w:bottom w:val="none" w:sz="0" w:space="0" w:color="auto"/>
        <w:right w:val="none" w:sz="0" w:space="0" w:color="auto"/>
      </w:divBdr>
    </w:div>
    <w:div w:id="1893423151">
      <w:bodyDiv w:val="1"/>
      <w:marLeft w:val="0"/>
      <w:marRight w:val="0"/>
      <w:marTop w:val="0"/>
      <w:marBottom w:val="0"/>
      <w:divBdr>
        <w:top w:val="none" w:sz="0" w:space="0" w:color="auto"/>
        <w:left w:val="none" w:sz="0" w:space="0" w:color="auto"/>
        <w:bottom w:val="none" w:sz="0" w:space="0" w:color="auto"/>
        <w:right w:val="none" w:sz="0" w:space="0" w:color="auto"/>
      </w:divBdr>
    </w:div>
    <w:div w:id="1914781576">
      <w:bodyDiv w:val="1"/>
      <w:marLeft w:val="0"/>
      <w:marRight w:val="0"/>
      <w:marTop w:val="0"/>
      <w:marBottom w:val="0"/>
      <w:divBdr>
        <w:top w:val="none" w:sz="0" w:space="0" w:color="auto"/>
        <w:left w:val="none" w:sz="0" w:space="0" w:color="auto"/>
        <w:bottom w:val="none" w:sz="0" w:space="0" w:color="auto"/>
        <w:right w:val="none" w:sz="0" w:space="0" w:color="auto"/>
      </w:divBdr>
    </w:div>
    <w:div w:id="2021925869">
      <w:bodyDiv w:val="1"/>
      <w:marLeft w:val="0"/>
      <w:marRight w:val="0"/>
      <w:marTop w:val="0"/>
      <w:marBottom w:val="0"/>
      <w:divBdr>
        <w:top w:val="none" w:sz="0" w:space="0" w:color="auto"/>
        <w:left w:val="none" w:sz="0" w:space="0" w:color="auto"/>
        <w:bottom w:val="none" w:sz="0" w:space="0" w:color="auto"/>
        <w:right w:val="none" w:sz="0" w:space="0" w:color="auto"/>
      </w:divBdr>
    </w:div>
    <w:div w:id="20613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upacijaszaudejumi.l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rikadopedija.lv" TargetMode="External"/><Relationship Id="rId4" Type="http://schemas.openxmlformats.org/officeDocument/2006/relationships/settings" Target="settings.xml"/><Relationship Id="rId9" Type="http://schemas.openxmlformats.org/officeDocument/2006/relationships/hyperlink" Target="http://www.barikadopedij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Nosaukums</vt:lpstr>
      </vt:variant>
      <vt:variant>
        <vt:i4>1</vt:i4>
      </vt:variant>
    </vt:vector>
  </HeadingPairs>
  <TitlesOfParts>
    <vt:vector size="1" baseType="lpstr">
      <vt:lpstr>Pārskats par Komisijas finanšu līdzekļu izlietojumu 2016. gadā</vt:lpstr>
    </vt:vector>
  </TitlesOfParts>
  <Company>Tieslietu ministrija</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Komisijas finanšu līdzekļu izlietojumu 2016. gadā</dc:title>
  <dc:subject>Informatīvā ziņojuma pielikums</dc:subject>
  <dc:creator>Ruta Pazdere</dc:creator>
  <dc:description>29521934, loib@inbox.lv</dc:description>
  <cp:lastModifiedBy>Administrator</cp:lastModifiedBy>
  <cp:revision>3</cp:revision>
  <dcterms:created xsi:type="dcterms:W3CDTF">2017-02-08T14:24:00Z</dcterms:created>
  <dcterms:modified xsi:type="dcterms:W3CDTF">2017-02-08T14:54:00Z</dcterms:modified>
</cp:coreProperties>
</file>